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F59" w:rsidRPr="00550C63" w:rsidRDefault="00B82AA0" w:rsidP="00550C63">
      <w:pPr>
        <w:tabs>
          <w:tab w:val="left" w:pos="900"/>
        </w:tabs>
        <w:rPr>
          <w:rFonts w:eastAsia="Calibri" w:cs="Calibri"/>
          <w:b/>
          <w:bCs/>
          <w:sz w:val="22"/>
          <w:szCs w:val="22"/>
        </w:rPr>
      </w:pPr>
      <w:r>
        <w:rPr>
          <w:noProof/>
        </w:rPr>
        <w:drawing>
          <wp:anchor distT="0" distB="0" distL="114300" distR="114300" simplePos="0" relativeHeight="251656704" behindDoc="1" locked="0" layoutInCell="1" allowOverlap="1" wp14:anchorId="1E5D6DA6" wp14:editId="01442D16">
            <wp:simplePos x="0" y="0"/>
            <wp:positionH relativeFrom="column">
              <wp:posOffset>-925195</wp:posOffset>
            </wp:positionH>
            <wp:positionV relativeFrom="paragraph">
              <wp:posOffset>-118110</wp:posOffset>
            </wp:positionV>
            <wp:extent cx="2352675" cy="276225"/>
            <wp:effectExtent l="19050" t="0" r="9525" b="0"/>
            <wp:wrapNone/>
            <wp:docPr id="18" name="Picture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a:blip r:embed="rId8" cstate="print"/>
                    <a:srcRect/>
                    <a:stretch>
                      <a:fillRect/>
                    </a:stretch>
                  </pic:blipFill>
                  <pic:spPr bwMode="auto">
                    <a:xfrm>
                      <a:off x="0" y="0"/>
                      <a:ext cx="2352675" cy="276225"/>
                    </a:xfrm>
                    <a:prstGeom prst="rect">
                      <a:avLst/>
                    </a:prstGeom>
                    <a:noFill/>
                    <a:ln w="9525">
                      <a:noFill/>
                      <a:miter lim="800000"/>
                      <a:headEnd/>
                      <a:tailEnd/>
                    </a:ln>
                  </pic:spPr>
                </pic:pic>
              </a:graphicData>
            </a:graphic>
          </wp:anchor>
        </w:drawing>
      </w:r>
      <w:r w:rsidR="00550C63" w:rsidRPr="00550C63">
        <w:rPr>
          <w:rFonts w:eastAsia="Calibri" w:cs="Calibri"/>
          <w:b/>
          <w:bCs/>
          <w:sz w:val="22"/>
          <w:szCs w:val="22"/>
        </w:rPr>
        <w:tab/>
      </w:r>
    </w:p>
    <w:p w:rsidR="00813F59" w:rsidRPr="00550C63" w:rsidRDefault="00813F59" w:rsidP="00813F59">
      <w:pPr>
        <w:rPr>
          <w:rFonts w:eastAsia="Calibri" w:cs="Calibri"/>
          <w:b/>
          <w:bCs/>
          <w:sz w:val="22"/>
          <w:szCs w:val="22"/>
        </w:rPr>
      </w:pPr>
    </w:p>
    <w:p w:rsidR="00813F59" w:rsidRPr="00550C63" w:rsidRDefault="00813F59" w:rsidP="00813F59">
      <w:pPr>
        <w:rPr>
          <w:rFonts w:eastAsia="Calibri" w:cs="Calibri"/>
          <w:b/>
          <w:bCs/>
          <w:sz w:val="22"/>
          <w:szCs w:val="22"/>
        </w:rPr>
      </w:pPr>
    </w:p>
    <w:tbl>
      <w:tblPr>
        <w:tblStyle w:val="TableGrid"/>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736"/>
      </w:tblGrid>
      <w:tr w:rsidR="00273B51" w:rsidTr="00273B51">
        <w:tc>
          <w:tcPr>
            <w:tcW w:w="6925" w:type="dxa"/>
          </w:tcPr>
          <w:p w:rsidR="00273B51" w:rsidRPr="00273B51" w:rsidRDefault="00273B51" w:rsidP="00813F59">
            <w:pPr>
              <w:rPr>
                <w:rFonts w:eastAsia="Calibri" w:cs="Calibri"/>
                <w:b/>
                <w:bCs/>
                <w:sz w:val="22"/>
                <w:szCs w:val="22"/>
              </w:rPr>
            </w:pPr>
            <w:r w:rsidRPr="00550C63">
              <w:rPr>
                <w:rFonts w:eastAsia="Calibri" w:cs="Calibri"/>
                <w:b/>
                <w:bCs/>
                <w:sz w:val="22"/>
                <w:szCs w:val="22"/>
              </w:rPr>
              <w:t>COUNTY OF HUMBOLDT</w:t>
            </w:r>
          </w:p>
        </w:tc>
        <w:tc>
          <w:tcPr>
            <w:tcW w:w="2736" w:type="dxa"/>
            <w:vMerge w:val="restart"/>
          </w:tcPr>
          <w:p w:rsidR="00273B51" w:rsidRDefault="00273B51" w:rsidP="00273B51">
            <w:pPr>
              <w:jc w:val="right"/>
              <w:rPr>
                <w:rFonts w:eastAsia="Calibri" w:cs="Calibri"/>
                <w:sz w:val="22"/>
                <w:szCs w:val="22"/>
              </w:rPr>
            </w:pPr>
            <w:r>
              <w:rPr>
                <w:rFonts w:eastAsia="Calibri" w:cs="Calibri"/>
                <w:noProof/>
                <w:sz w:val="22"/>
                <w:szCs w:val="22"/>
              </w:rPr>
              <w:drawing>
                <wp:inline distT="0" distB="0" distL="0" distR="0">
                  <wp:extent cx="1089329" cy="1089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Seal_6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0093" cy="1110093"/>
                          </a:xfrm>
                          <a:prstGeom prst="rect">
                            <a:avLst/>
                          </a:prstGeom>
                        </pic:spPr>
                      </pic:pic>
                    </a:graphicData>
                  </a:graphic>
                </wp:inline>
              </w:drawing>
            </w:r>
          </w:p>
        </w:tc>
      </w:tr>
      <w:tr w:rsidR="00273B51" w:rsidTr="00273B51">
        <w:tc>
          <w:tcPr>
            <w:tcW w:w="6925" w:type="dxa"/>
          </w:tcPr>
          <w:p w:rsidR="00273B51" w:rsidRDefault="001952C3" w:rsidP="00813F59">
            <w:pPr>
              <w:rPr>
                <w:rFonts w:eastAsia="Calibri" w:cs="Calibri"/>
                <w:sz w:val="22"/>
                <w:szCs w:val="22"/>
              </w:rPr>
            </w:pPr>
            <w:r>
              <w:rPr>
                <w:rFonts w:eastAsia="Calibri" w:cs="Calibri"/>
                <w:b/>
                <w:bCs/>
                <w:sz w:val="22"/>
                <w:szCs w:val="22"/>
              </w:rPr>
              <w:t>Treasurer-Tax Collector</w:t>
            </w:r>
          </w:p>
        </w:tc>
        <w:tc>
          <w:tcPr>
            <w:tcW w:w="2736" w:type="dxa"/>
            <w:vMerge/>
          </w:tcPr>
          <w:p w:rsidR="00273B51" w:rsidRDefault="00273B51" w:rsidP="00813F59">
            <w:pPr>
              <w:rPr>
                <w:rFonts w:eastAsia="Calibri" w:cs="Calibri"/>
                <w:sz w:val="22"/>
                <w:szCs w:val="22"/>
              </w:rPr>
            </w:pPr>
          </w:p>
        </w:tc>
      </w:tr>
      <w:tr w:rsidR="00273B51" w:rsidTr="00273B51">
        <w:tc>
          <w:tcPr>
            <w:tcW w:w="6925" w:type="dxa"/>
          </w:tcPr>
          <w:p w:rsidR="00273B51" w:rsidRDefault="001952C3" w:rsidP="00813F59">
            <w:pPr>
              <w:rPr>
                <w:rFonts w:eastAsia="Calibri" w:cs="Calibri"/>
                <w:sz w:val="22"/>
                <w:szCs w:val="22"/>
              </w:rPr>
            </w:pPr>
            <w:r>
              <w:rPr>
                <w:rFonts w:eastAsia="Calibri" w:cs="Calibri"/>
                <w:sz w:val="22"/>
                <w:szCs w:val="22"/>
              </w:rPr>
              <w:t>825 5</w:t>
            </w:r>
            <w:r w:rsidRPr="001952C3">
              <w:rPr>
                <w:rFonts w:eastAsia="Calibri" w:cs="Calibri"/>
                <w:sz w:val="22"/>
                <w:szCs w:val="22"/>
                <w:vertAlign w:val="superscript"/>
              </w:rPr>
              <w:t>th</w:t>
            </w:r>
            <w:r w:rsidR="005339CC">
              <w:rPr>
                <w:rFonts w:eastAsia="Calibri" w:cs="Calibri"/>
                <w:sz w:val="22"/>
                <w:szCs w:val="22"/>
              </w:rPr>
              <w:t xml:space="preserve"> Street</w:t>
            </w:r>
            <w:r w:rsidR="00850FE3">
              <w:rPr>
                <w:rFonts w:eastAsia="Calibri" w:cs="Calibri"/>
                <w:sz w:val="22"/>
                <w:szCs w:val="22"/>
              </w:rPr>
              <w:t xml:space="preserve"> #125</w:t>
            </w:r>
            <w:r w:rsidR="005339CC">
              <w:rPr>
                <w:rFonts w:eastAsia="Calibri" w:cs="Calibri"/>
                <w:sz w:val="22"/>
                <w:szCs w:val="22"/>
              </w:rPr>
              <w:t>, Eureka</w:t>
            </w:r>
          </w:p>
        </w:tc>
        <w:tc>
          <w:tcPr>
            <w:tcW w:w="2736" w:type="dxa"/>
            <w:vMerge/>
          </w:tcPr>
          <w:p w:rsidR="00273B51" w:rsidRDefault="00273B51" w:rsidP="00813F59">
            <w:pPr>
              <w:rPr>
                <w:rFonts w:eastAsia="Calibri" w:cs="Calibri"/>
                <w:sz w:val="22"/>
                <w:szCs w:val="22"/>
              </w:rPr>
            </w:pPr>
          </w:p>
        </w:tc>
      </w:tr>
      <w:tr w:rsidR="00273B51" w:rsidTr="00273B51">
        <w:tc>
          <w:tcPr>
            <w:tcW w:w="6925" w:type="dxa"/>
          </w:tcPr>
          <w:p w:rsidR="00273B51" w:rsidRDefault="00273B51" w:rsidP="001329D8">
            <w:pPr>
              <w:rPr>
                <w:rFonts w:eastAsia="Calibri" w:cs="Calibri"/>
                <w:sz w:val="22"/>
                <w:szCs w:val="22"/>
              </w:rPr>
            </w:pPr>
            <w:r w:rsidRPr="00550C63">
              <w:rPr>
                <w:rFonts w:eastAsia="Calibri" w:cs="Calibri"/>
                <w:sz w:val="22"/>
                <w:szCs w:val="22"/>
              </w:rPr>
              <w:t xml:space="preserve">Telephone (707) </w:t>
            </w:r>
            <w:r w:rsidR="00850FE3">
              <w:rPr>
                <w:rFonts w:eastAsia="Calibri" w:cs="Calibri"/>
                <w:sz w:val="22"/>
                <w:szCs w:val="22"/>
              </w:rPr>
              <w:t>476-2450</w:t>
            </w:r>
          </w:p>
        </w:tc>
        <w:tc>
          <w:tcPr>
            <w:tcW w:w="2736" w:type="dxa"/>
            <w:vMerge/>
          </w:tcPr>
          <w:p w:rsidR="00273B51" w:rsidRDefault="00273B51" w:rsidP="00813F59">
            <w:pPr>
              <w:rPr>
                <w:rFonts w:eastAsia="Calibri" w:cs="Calibri"/>
                <w:sz w:val="22"/>
                <w:szCs w:val="22"/>
              </w:rPr>
            </w:pPr>
          </w:p>
        </w:tc>
      </w:tr>
      <w:tr w:rsidR="00273B51" w:rsidTr="00273B51">
        <w:tc>
          <w:tcPr>
            <w:tcW w:w="6925" w:type="dxa"/>
          </w:tcPr>
          <w:p w:rsidR="00273B51" w:rsidRDefault="00FC54E9" w:rsidP="00813F59">
            <w:pPr>
              <w:rPr>
                <w:rFonts w:eastAsia="Calibri" w:cs="Calibri"/>
                <w:sz w:val="22"/>
                <w:szCs w:val="22"/>
              </w:rPr>
            </w:pPr>
            <w:hyperlink r:id="rId10" w:history="1">
              <w:r w:rsidR="00273B51" w:rsidRPr="00ED605C">
                <w:rPr>
                  <w:rStyle w:val="Hyperlink"/>
                  <w:rFonts w:eastAsia="Calibri" w:cs="Calibri"/>
                  <w:sz w:val="22"/>
                  <w:szCs w:val="22"/>
                </w:rPr>
                <w:t>www.humboldtgov.org</w:t>
              </w:r>
            </w:hyperlink>
          </w:p>
        </w:tc>
        <w:tc>
          <w:tcPr>
            <w:tcW w:w="2736" w:type="dxa"/>
            <w:vMerge/>
          </w:tcPr>
          <w:p w:rsidR="00273B51" w:rsidRDefault="00273B51" w:rsidP="00813F59">
            <w:pPr>
              <w:rPr>
                <w:rFonts w:eastAsia="Calibri" w:cs="Calibri"/>
                <w:sz w:val="22"/>
                <w:szCs w:val="22"/>
              </w:rPr>
            </w:pPr>
          </w:p>
        </w:tc>
      </w:tr>
    </w:tbl>
    <w:p w:rsidR="00273B51" w:rsidRDefault="00273B51" w:rsidP="00813F59">
      <w:pPr>
        <w:rPr>
          <w:rFonts w:eastAsia="Calibri" w:cs="Calibri"/>
          <w:sz w:val="22"/>
          <w:szCs w:val="22"/>
        </w:rPr>
      </w:pPr>
    </w:p>
    <w:tbl>
      <w:tblPr>
        <w:tblW w:w="0" w:type="auto"/>
        <w:tblCellMar>
          <w:left w:w="0" w:type="dxa"/>
          <w:right w:w="0" w:type="dxa"/>
        </w:tblCellMar>
        <w:tblLook w:val="04A0" w:firstRow="1" w:lastRow="0" w:firstColumn="1" w:lastColumn="0" w:noHBand="0" w:noVBand="1"/>
      </w:tblPr>
      <w:tblGrid>
        <w:gridCol w:w="3015"/>
        <w:gridCol w:w="6633"/>
      </w:tblGrid>
      <w:tr w:rsidR="00813F59" w:rsidRPr="00550C63" w:rsidTr="00273B51">
        <w:tc>
          <w:tcPr>
            <w:tcW w:w="3015" w:type="dxa"/>
            <w:tcMar>
              <w:top w:w="0" w:type="dxa"/>
              <w:left w:w="108" w:type="dxa"/>
              <w:bottom w:w="0" w:type="dxa"/>
              <w:right w:w="108" w:type="dxa"/>
            </w:tcMar>
            <w:hideMark/>
          </w:tcPr>
          <w:p w:rsidR="00813F59" w:rsidRPr="00550C63" w:rsidRDefault="00813F59" w:rsidP="00813F59">
            <w:pPr>
              <w:rPr>
                <w:rFonts w:eastAsia="Calibri" w:cs="Calibri"/>
                <w:sz w:val="22"/>
                <w:szCs w:val="22"/>
              </w:rPr>
            </w:pPr>
            <w:r w:rsidRPr="00550C63">
              <w:rPr>
                <w:rFonts w:eastAsia="Calibri" w:cs="Calibri"/>
                <w:sz w:val="22"/>
                <w:szCs w:val="22"/>
                <w:u w:val="single"/>
              </w:rPr>
              <w:t>FOR IMMEDIATE RELEASE</w:t>
            </w:r>
          </w:p>
        </w:tc>
        <w:tc>
          <w:tcPr>
            <w:tcW w:w="6633" w:type="dxa"/>
            <w:tcMar>
              <w:top w:w="0" w:type="dxa"/>
              <w:left w:w="108" w:type="dxa"/>
              <w:bottom w:w="0" w:type="dxa"/>
              <w:right w:w="108" w:type="dxa"/>
            </w:tcMar>
            <w:hideMark/>
          </w:tcPr>
          <w:p w:rsidR="00813F59" w:rsidRPr="00550C63" w:rsidRDefault="00813F59" w:rsidP="00813F59">
            <w:pPr>
              <w:jc w:val="right"/>
              <w:rPr>
                <w:rFonts w:eastAsia="Calibri" w:cs="Calibri"/>
                <w:sz w:val="22"/>
                <w:szCs w:val="22"/>
              </w:rPr>
            </w:pPr>
            <w:r w:rsidRPr="00550C63">
              <w:rPr>
                <w:rFonts w:eastAsia="Calibri" w:cs="Calibri"/>
                <w:sz w:val="22"/>
                <w:szCs w:val="22"/>
              </w:rPr>
              <w:t>For more information, contact:</w:t>
            </w:r>
          </w:p>
        </w:tc>
      </w:tr>
      <w:tr w:rsidR="001329D8" w:rsidRPr="00550C63" w:rsidTr="00273B51">
        <w:tc>
          <w:tcPr>
            <w:tcW w:w="3015" w:type="dxa"/>
            <w:tcMar>
              <w:top w:w="0" w:type="dxa"/>
              <w:left w:w="108" w:type="dxa"/>
              <w:bottom w:w="0" w:type="dxa"/>
              <w:right w:w="108" w:type="dxa"/>
            </w:tcMar>
            <w:hideMark/>
          </w:tcPr>
          <w:p w:rsidR="001329D8" w:rsidRPr="00550C63" w:rsidRDefault="001952C3" w:rsidP="001329D8">
            <w:pPr>
              <w:rPr>
                <w:rFonts w:eastAsia="Calibri" w:cs="Calibri"/>
                <w:sz w:val="22"/>
                <w:szCs w:val="22"/>
              </w:rPr>
            </w:pPr>
            <w:r>
              <w:rPr>
                <w:rFonts w:eastAsia="Calibri" w:cs="Calibri"/>
                <w:sz w:val="22"/>
                <w:szCs w:val="22"/>
              </w:rPr>
              <w:t>March 27</w:t>
            </w:r>
            <w:r w:rsidR="005339CC">
              <w:rPr>
                <w:rFonts w:eastAsia="Calibri" w:cs="Calibri"/>
                <w:sz w:val="22"/>
                <w:szCs w:val="22"/>
              </w:rPr>
              <w:t>, 2020</w:t>
            </w:r>
          </w:p>
        </w:tc>
        <w:tc>
          <w:tcPr>
            <w:tcW w:w="6633" w:type="dxa"/>
            <w:tcMar>
              <w:top w:w="0" w:type="dxa"/>
              <w:left w:w="108" w:type="dxa"/>
              <w:bottom w:w="0" w:type="dxa"/>
              <w:right w:w="108" w:type="dxa"/>
            </w:tcMar>
            <w:hideMark/>
          </w:tcPr>
          <w:p w:rsidR="001329D8" w:rsidRPr="00550C63" w:rsidRDefault="001952C3" w:rsidP="001329D8">
            <w:pPr>
              <w:jc w:val="right"/>
              <w:rPr>
                <w:rFonts w:eastAsia="Calibri" w:cs="Calibri"/>
                <w:sz w:val="22"/>
                <w:szCs w:val="22"/>
              </w:rPr>
            </w:pPr>
            <w:r>
              <w:rPr>
                <w:rFonts w:eastAsia="Calibri" w:cs="Calibri"/>
                <w:sz w:val="22"/>
                <w:szCs w:val="22"/>
              </w:rPr>
              <w:t>John Bartholomew</w:t>
            </w:r>
            <w:r w:rsidR="001329D8" w:rsidRPr="00550C63">
              <w:rPr>
                <w:rFonts w:eastAsia="Calibri" w:cs="Calibri"/>
                <w:sz w:val="22"/>
                <w:szCs w:val="22"/>
              </w:rPr>
              <w:t xml:space="preserve">, </w:t>
            </w:r>
            <w:r>
              <w:rPr>
                <w:rFonts w:eastAsia="Calibri" w:cs="Calibri"/>
                <w:sz w:val="22"/>
                <w:szCs w:val="22"/>
              </w:rPr>
              <w:t>Treasurer-Tax Collector</w:t>
            </w:r>
          </w:p>
        </w:tc>
      </w:tr>
      <w:tr w:rsidR="001329D8" w:rsidRPr="00550C63" w:rsidTr="00273B51">
        <w:tc>
          <w:tcPr>
            <w:tcW w:w="3015" w:type="dxa"/>
            <w:tcMar>
              <w:top w:w="0" w:type="dxa"/>
              <w:left w:w="108" w:type="dxa"/>
              <w:bottom w:w="0" w:type="dxa"/>
              <w:right w:w="108" w:type="dxa"/>
            </w:tcMar>
            <w:hideMark/>
          </w:tcPr>
          <w:p w:rsidR="001329D8" w:rsidRPr="00550C63" w:rsidRDefault="001329D8" w:rsidP="001329D8">
            <w:pPr>
              <w:rPr>
                <w:rFonts w:eastAsia="Calibri" w:cs="Calibri"/>
                <w:sz w:val="22"/>
                <w:szCs w:val="22"/>
              </w:rPr>
            </w:pPr>
            <w:r w:rsidRPr="00550C63">
              <w:rPr>
                <w:rFonts w:eastAsia="Calibri" w:cs="Calibri"/>
                <w:sz w:val="22"/>
                <w:szCs w:val="22"/>
              </w:rPr>
              <w:t> </w:t>
            </w:r>
          </w:p>
        </w:tc>
        <w:tc>
          <w:tcPr>
            <w:tcW w:w="6633" w:type="dxa"/>
            <w:tcMar>
              <w:top w:w="0" w:type="dxa"/>
              <w:left w:w="108" w:type="dxa"/>
              <w:bottom w:w="0" w:type="dxa"/>
              <w:right w:w="108" w:type="dxa"/>
            </w:tcMar>
            <w:hideMark/>
          </w:tcPr>
          <w:p w:rsidR="001329D8" w:rsidRDefault="001329D8" w:rsidP="001329D8">
            <w:pPr>
              <w:jc w:val="right"/>
              <w:rPr>
                <w:rFonts w:eastAsia="Calibri" w:cs="Calibri"/>
                <w:sz w:val="22"/>
                <w:szCs w:val="22"/>
              </w:rPr>
            </w:pPr>
            <w:r>
              <w:rPr>
                <w:rFonts w:eastAsia="Calibri" w:cs="Calibri"/>
                <w:sz w:val="22"/>
                <w:szCs w:val="22"/>
              </w:rPr>
              <w:t xml:space="preserve">(707) </w:t>
            </w:r>
            <w:r w:rsidR="00850FE3">
              <w:rPr>
                <w:rFonts w:eastAsia="Calibri" w:cs="Calibri"/>
                <w:sz w:val="22"/>
                <w:szCs w:val="22"/>
              </w:rPr>
              <w:t>476-2450</w:t>
            </w:r>
          </w:p>
          <w:p w:rsidR="001329D8" w:rsidRPr="00550C63" w:rsidRDefault="00850FE3" w:rsidP="001329D8">
            <w:pPr>
              <w:jc w:val="right"/>
              <w:rPr>
                <w:rFonts w:eastAsia="Calibri" w:cs="Calibri"/>
                <w:sz w:val="22"/>
                <w:szCs w:val="22"/>
              </w:rPr>
            </w:pPr>
            <w:r>
              <w:rPr>
                <w:rFonts w:eastAsia="Calibri" w:cs="Calibri"/>
                <w:sz w:val="22"/>
                <w:szCs w:val="22"/>
              </w:rPr>
              <w:t>taxinfo</w:t>
            </w:r>
            <w:r w:rsidR="00586ABF">
              <w:rPr>
                <w:rFonts w:eastAsia="Calibri" w:cs="Calibri"/>
                <w:sz w:val="22"/>
                <w:szCs w:val="22"/>
              </w:rPr>
              <w:t>@co.humboldt.ca.us</w:t>
            </w:r>
          </w:p>
        </w:tc>
      </w:tr>
    </w:tbl>
    <w:p w:rsidR="007667B4" w:rsidRDefault="007667B4" w:rsidP="00813F59">
      <w:pPr>
        <w:jc w:val="center"/>
        <w:rPr>
          <w:rFonts w:eastAsia="Calibri" w:cs="Calibri"/>
          <w:b/>
          <w:bCs/>
          <w:sz w:val="28"/>
          <w:szCs w:val="28"/>
        </w:rPr>
      </w:pPr>
    </w:p>
    <w:p w:rsidR="001329D8" w:rsidRPr="00966B3E" w:rsidRDefault="001952C3" w:rsidP="001D547E">
      <w:pPr>
        <w:jc w:val="center"/>
        <w:rPr>
          <w:rFonts w:ascii="Times New Roman" w:eastAsia="Calibri" w:hAnsi="Times New Roman"/>
          <w:b/>
          <w:sz w:val="28"/>
          <w:szCs w:val="28"/>
        </w:rPr>
      </w:pPr>
      <w:r>
        <w:rPr>
          <w:rFonts w:ascii="Times New Roman" w:eastAsia="Calibri" w:hAnsi="Times New Roman"/>
          <w:b/>
          <w:sz w:val="28"/>
          <w:szCs w:val="28"/>
        </w:rPr>
        <w:t>Deadline for Second Installment of Property Taxes is April 10</w:t>
      </w:r>
    </w:p>
    <w:p w:rsidR="00246546" w:rsidRDefault="00246546" w:rsidP="00246546">
      <w:pPr>
        <w:jc w:val="both"/>
        <w:rPr>
          <w:rFonts w:ascii="Times New Roman" w:eastAsia="Calibri" w:hAnsi="Times New Roman"/>
          <w:sz w:val="22"/>
          <w:szCs w:val="22"/>
        </w:rPr>
      </w:pPr>
    </w:p>
    <w:p w:rsidR="001D547E" w:rsidRPr="001D547E" w:rsidRDefault="00311999" w:rsidP="001952C3">
      <w:pPr>
        <w:jc w:val="center"/>
        <w:rPr>
          <w:i/>
          <w:iCs/>
          <w:sz w:val="28"/>
          <w:szCs w:val="28"/>
          <w:u w:val="single"/>
        </w:rPr>
      </w:pPr>
      <w:r>
        <w:rPr>
          <w:i/>
          <w:iCs/>
          <w:sz w:val="28"/>
          <w:szCs w:val="28"/>
          <w:u w:val="single"/>
        </w:rPr>
        <w:t xml:space="preserve">The </w:t>
      </w:r>
      <w:r w:rsidR="001952C3" w:rsidRPr="001D547E">
        <w:rPr>
          <w:i/>
          <w:iCs/>
          <w:sz w:val="28"/>
          <w:szCs w:val="28"/>
          <w:u w:val="single"/>
        </w:rPr>
        <w:t xml:space="preserve">Penalty waiver process will begin </w:t>
      </w:r>
      <w:r w:rsidR="001952C3" w:rsidRPr="001D547E">
        <w:rPr>
          <w:b/>
          <w:bCs/>
          <w:i/>
          <w:iCs/>
          <w:sz w:val="28"/>
          <w:szCs w:val="28"/>
          <w:u w:val="single"/>
        </w:rPr>
        <w:t>after April 10</w:t>
      </w:r>
      <w:r w:rsidR="001952C3" w:rsidRPr="001D547E">
        <w:rPr>
          <w:i/>
          <w:iCs/>
          <w:sz w:val="28"/>
          <w:szCs w:val="28"/>
          <w:u w:val="single"/>
        </w:rPr>
        <w:t xml:space="preserve"> </w:t>
      </w:r>
    </w:p>
    <w:p w:rsidR="001952C3" w:rsidRPr="001D547E" w:rsidRDefault="001952C3" w:rsidP="001952C3">
      <w:pPr>
        <w:jc w:val="center"/>
        <w:rPr>
          <w:i/>
          <w:iCs/>
          <w:sz w:val="28"/>
          <w:szCs w:val="28"/>
        </w:rPr>
      </w:pPr>
      <w:r w:rsidRPr="001D547E">
        <w:rPr>
          <w:i/>
          <w:iCs/>
          <w:sz w:val="28"/>
          <w:szCs w:val="28"/>
          <w:u w:val="single"/>
        </w:rPr>
        <w:t>for COVID-19 related hardships</w:t>
      </w:r>
    </w:p>
    <w:p w:rsidR="001952C3" w:rsidRPr="004107B5" w:rsidRDefault="001952C3" w:rsidP="00246546">
      <w:pPr>
        <w:jc w:val="both"/>
        <w:rPr>
          <w:rFonts w:ascii="Times New Roman" w:eastAsia="Calibri" w:hAnsi="Times New Roman"/>
          <w:sz w:val="22"/>
          <w:szCs w:val="22"/>
        </w:rPr>
      </w:pPr>
    </w:p>
    <w:p w:rsidR="001952C3" w:rsidRPr="001952C3" w:rsidRDefault="001952C3" w:rsidP="001952C3">
      <w:pPr>
        <w:ind w:right="-162"/>
        <w:rPr>
          <w:rStyle w:val="Emphasis"/>
          <w:rFonts w:ascii="Times New Roman" w:hAnsi="Times New Roman"/>
          <w:i w:val="0"/>
          <w:iCs w:val="0"/>
        </w:rPr>
      </w:pPr>
      <w:r w:rsidRPr="001952C3">
        <w:rPr>
          <w:rStyle w:val="Emphasis"/>
          <w:rFonts w:ascii="Times New Roman" w:hAnsi="Times New Roman"/>
          <w:i w:val="0"/>
          <w:iCs w:val="0"/>
        </w:rPr>
        <w:t>California County Treasurer</w:t>
      </w:r>
      <w:r w:rsidR="001D547E">
        <w:rPr>
          <w:rStyle w:val="Emphasis"/>
          <w:rFonts w:ascii="Times New Roman" w:hAnsi="Times New Roman"/>
          <w:i w:val="0"/>
          <w:iCs w:val="0"/>
        </w:rPr>
        <w:t xml:space="preserve"> -</w:t>
      </w:r>
      <w:r w:rsidRPr="001952C3">
        <w:rPr>
          <w:rStyle w:val="Emphasis"/>
          <w:rFonts w:ascii="Times New Roman" w:hAnsi="Times New Roman"/>
          <w:i w:val="0"/>
          <w:iCs w:val="0"/>
        </w:rPr>
        <w:t xml:space="preserve"> Tax Collectors are responsible for protecting the financial viability of county agencies, schools and essential services by meeting near- and long-term financial obligations. The services counties provide to </w:t>
      </w:r>
      <w:proofErr w:type="gramStart"/>
      <w:r w:rsidRPr="001952C3">
        <w:rPr>
          <w:rStyle w:val="Emphasis"/>
          <w:rFonts w:ascii="Times New Roman" w:hAnsi="Times New Roman"/>
          <w:i w:val="0"/>
          <w:iCs w:val="0"/>
        </w:rPr>
        <w:t>local residents</w:t>
      </w:r>
      <w:proofErr w:type="gramEnd"/>
      <w:r w:rsidRPr="001952C3">
        <w:rPr>
          <w:rStyle w:val="Emphasis"/>
          <w:rFonts w:ascii="Times New Roman" w:hAnsi="Times New Roman"/>
          <w:i w:val="0"/>
          <w:iCs w:val="0"/>
        </w:rPr>
        <w:t xml:space="preserve"> are dependent on the twice-yearly remittance of local property taxes. </w:t>
      </w:r>
    </w:p>
    <w:p w:rsidR="001952C3" w:rsidRPr="001952C3" w:rsidRDefault="001952C3" w:rsidP="001952C3">
      <w:pPr>
        <w:ind w:right="-162"/>
        <w:rPr>
          <w:rStyle w:val="Emphasis"/>
          <w:rFonts w:ascii="Times New Roman" w:hAnsi="Times New Roman"/>
          <w:i w:val="0"/>
          <w:iCs w:val="0"/>
        </w:rPr>
      </w:pPr>
    </w:p>
    <w:p w:rsidR="001952C3" w:rsidRPr="001952C3" w:rsidRDefault="001952C3" w:rsidP="001952C3">
      <w:pPr>
        <w:ind w:right="-162"/>
        <w:rPr>
          <w:rStyle w:val="Emphasis"/>
          <w:rFonts w:ascii="Times New Roman" w:hAnsi="Times New Roman"/>
          <w:i w:val="0"/>
          <w:iCs w:val="0"/>
        </w:rPr>
      </w:pPr>
      <w:r w:rsidRPr="001952C3">
        <w:rPr>
          <w:rStyle w:val="Emphasis"/>
          <w:rFonts w:ascii="Times New Roman" w:hAnsi="Times New Roman"/>
          <w:i w:val="0"/>
          <w:iCs w:val="0"/>
        </w:rPr>
        <w:t>County Tax Collectors have a long history of working with taxpayers in times of emergency, disaster and individual hardships, including during recent wildfires and floods. The COVID-19 crisis is no exception. After April 10, Tax Collectors will begin the process of waiving late payment penalties based on reasonable cause and individual circumstances including illness or quarantine as a result of the COVID-19 crisis.</w:t>
      </w:r>
      <w:bookmarkStart w:id="0" w:name="_GoBack"/>
      <w:bookmarkEnd w:id="0"/>
    </w:p>
    <w:p w:rsidR="001952C3" w:rsidRPr="001952C3" w:rsidRDefault="001952C3" w:rsidP="001952C3">
      <w:pPr>
        <w:ind w:right="-162"/>
        <w:rPr>
          <w:rStyle w:val="Emphasis"/>
          <w:rFonts w:ascii="Times New Roman" w:hAnsi="Times New Roman"/>
          <w:i w:val="0"/>
          <w:iCs w:val="0"/>
        </w:rPr>
      </w:pPr>
    </w:p>
    <w:p w:rsidR="001952C3" w:rsidRPr="001952C3" w:rsidRDefault="001952C3" w:rsidP="001952C3">
      <w:pPr>
        <w:ind w:right="-162"/>
        <w:rPr>
          <w:rStyle w:val="Emphasis"/>
          <w:rFonts w:ascii="Times New Roman" w:hAnsi="Times New Roman"/>
          <w:i w:val="0"/>
          <w:iCs w:val="0"/>
        </w:rPr>
      </w:pPr>
      <w:r w:rsidRPr="001952C3">
        <w:rPr>
          <w:rStyle w:val="Emphasis"/>
          <w:rFonts w:ascii="Times New Roman" w:hAnsi="Times New Roman"/>
          <w:i w:val="0"/>
          <w:iCs w:val="0"/>
        </w:rPr>
        <w:t xml:space="preserve">Unlike income taxes which are paid on an ongoing basis through payroll deductions, property taxes are received in the days before the two payment deadlines of December 10 and April 10. These deadlines are set in state law and must be adhered to in order to avoid catastrophic impact on local funding of county public health departments, public hospitals and health systems, school districts, and general funds that pay for public safety and public works. </w:t>
      </w:r>
    </w:p>
    <w:p w:rsidR="001952C3" w:rsidRPr="001952C3" w:rsidRDefault="001952C3" w:rsidP="001952C3">
      <w:pPr>
        <w:ind w:right="-162"/>
        <w:rPr>
          <w:rStyle w:val="Emphasis"/>
          <w:rFonts w:ascii="Times New Roman" w:hAnsi="Times New Roman"/>
          <w:i w:val="0"/>
          <w:iCs w:val="0"/>
        </w:rPr>
      </w:pPr>
    </w:p>
    <w:p w:rsidR="001952C3" w:rsidRPr="001952C3" w:rsidRDefault="001952C3" w:rsidP="001952C3">
      <w:pPr>
        <w:ind w:right="-162"/>
        <w:rPr>
          <w:rStyle w:val="Emphasis"/>
          <w:rFonts w:ascii="Times New Roman" w:hAnsi="Times New Roman"/>
          <w:i w:val="0"/>
          <w:iCs w:val="0"/>
        </w:rPr>
      </w:pPr>
      <w:r w:rsidRPr="001952C3">
        <w:rPr>
          <w:rStyle w:val="Emphasis"/>
          <w:rFonts w:ascii="Times New Roman" w:hAnsi="Times New Roman"/>
          <w:i w:val="0"/>
          <w:iCs w:val="0"/>
        </w:rPr>
        <w:t xml:space="preserve"> “At times like these we all need to help each other and therefore we urge everyone who is </w:t>
      </w:r>
      <w:proofErr w:type="gramStart"/>
      <w:r w:rsidRPr="001952C3">
        <w:rPr>
          <w:rStyle w:val="Emphasis"/>
          <w:rFonts w:ascii="Times New Roman" w:hAnsi="Times New Roman"/>
          <w:i w:val="0"/>
          <w:iCs w:val="0"/>
        </w:rPr>
        <w:t>in a position</w:t>
      </w:r>
      <w:proofErr w:type="gramEnd"/>
      <w:r w:rsidRPr="001952C3">
        <w:rPr>
          <w:rStyle w:val="Emphasis"/>
          <w:rFonts w:ascii="Times New Roman" w:hAnsi="Times New Roman"/>
          <w:i w:val="0"/>
          <w:iCs w:val="0"/>
        </w:rPr>
        <w:t xml:space="preserve"> to pay property taxes on time to do so, as required by state law. </w:t>
      </w:r>
      <w:r>
        <w:rPr>
          <w:rStyle w:val="Emphasis"/>
          <w:rFonts w:ascii="Times New Roman" w:hAnsi="Times New Roman"/>
          <w:i w:val="0"/>
          <w:iCs w:val="0"/>
        </w:rPr>
        <w:t>Humboldt County citizens rely on services provided by t</w:t>
      </w:r>
      <w:r w:rsidRPr="001952C3">
        <w:rPr>
          <w:rStyle w:val="Emphasis"/>
          <w:rFonts w:ascii="Times New Roman" w:hAnsi="Times New Roman"/>
          <w:i w:val="0"/>
          <w:iCs w:val="0"/>
        </w:rPr>
        <w:t xml:space="preserve">eachers, fire fighters, public health and safety officers, and </w:t>
      </w:r>
      <w:r>
        <w:rPr>
          <w:rStyle w:val="Emphasis"/>
          <w:rFonts w:ascii="Times New Roman" w:hAnsi="Times New Roman"/>
          <w:i w:val="0"/>
          <w:iCs w:val="0"/>
        </w:rPr>
        <w:t xml:space="preserve">other </w:t>
      </w:r>
      <w:r w:rsidRPr="001952C3">
        <w:rPr>
          <w:rStyle w:val="Emphasis"/>
          <w:rFonts w:ascii="Times New Roman" w:hAnsi="Times New Roman"/>
          <w:i w:val="0"/>
          <w:iCs w:val="0"/>
        </w:rPr>
        <w:t>county service</w:t>
      </w:r>
      <w:r>
        <w:rPr>
          <w:rStyle w:val="Emphasis"/>
          <w:rFonts w:ascii="Times New Roman" w:hAnsi="Times New Roman"/>
          <w:i w:val="0"/>
          <w:iCs w:val="0"/>
        </w:rPr>
        <w:t>s. P</w:t>
      </w:r>
      <w:r w:rsidRPr="001952C3">
        <w:rPr>
          <w:rStyle w:val="Emphasis"/>
          <w:rFonts w:ascii="Times New Roman" w:hAnsi="Times New Roman"/>
          <w:i w:val="0"/>
          <w:iCs w:val="0"/>
        </w:rPr>
        <w:t xml:space="preserve">roperty tax revenues </w:t>
      </w:r>
      <w:r>
        <w:rPr>
          <w:rStyle w:val="Emphasis"/>
          <w:rFonts w:ascii="Times New Roman" w:hAnsi="Times New Roman"/>
          <w:i w:val="0"/>
          <w:iCs w:val="0"/>
        </w:rPr>
        <w:t xml:space="preserve">are vital to </w:t>
      </w:r>
      <w:r w:rsidRPr="001952C3">
        <w:rPr>
          <w:rStyle w:val="Emphasis"/>
          <w:rFonts w:ascii="Times New Roman" w:hAnsi="Times New Roman"/>
          <w:i w:val="0"/>
          <w:iCs w:val="0"/>
        </w:rPr>
        <w:t>keep</w:t>
      </w:r>
      <w:r>
        <w:rPr>
          <w:rStyle w:val="Emphasis"/>
          <w:rFonts w:ascii="Times New Roman" w:hAnsi="Times New Roman"/>
          <w:i w:val="0"/>
          <w:iCs w:val="0"/>
        </w:rPr>
        <w:t>ing</w:t>
      </w:r>
      <w:r w:rsidRPr="001952C3">
        <w:rPr>
          <w:rStyle w:val="Emphasis"/>
          <w:rFonts w:ascii="Times New Roman" w:hAnsi="Times New Roman"/>
          <w:i w:val="0"/>
          <w:iCs w:val="0"/>
        </w:rPr>
        <w:t xml:space="preserve"> their agencies, departments</w:t>
      </w:r>
      <w:r w:rsidR="001D547E">
        <w:rPr>
          <w:rStyle w:val="Emphasis"/>
          <w:rFonts w:ascii="Times New Roman" w:hAnsi="Times New Roman"/>
          <w:i w:val="0"/>
          <w:iCs w:val="0"/>
        </w:rPr>
        <w:t>,</w:t>
      </w:r>
      <w:r w:rsidRPr="001952C3">
        <w:rPr>
          <w:rStyle w:val="Emphasis"/>
          <w:rFonts w:ascii="Times New Roman" w:hAnsi="Times New Roman"/>
          <w:i w:val="0"/>
          <w:iCs w:val="0"/>
        </w:rPr>
        <w:t xml:space="preserve"> and schools funded and services uninterrupted,” said </w:t>
      </w:r>
      <w:r w:rsidR="00850FE3">
        <w:rPr>
          <w:rStyle w:val="Emphasis"/>
          <w:rFonts w:ascii="Times New Roman" w:hAnsi="Times New Roman"/>
          <w:i w:val="0"/>
          <w:iCs w:val="0"/>
        </w:rPr>
        <w:t>Humboldt County Treasurer-Tax Collector John Bartholomew</w:t>
      </w:r>
      <w:r w:rsidRPr="001952C3">
        <w:rPr>
          <w:rStyle w:val="Emphasis"/>
          <w:rFonts w:ascii="Times New Roman" w:hAnsi="Times New Roman"/>
          <w:i w:val="0"/>
          <w:iCs w:val="0"/>
        </w:rPr>
        <w:t xml:space="preserve">. </w:t>
      </w:r>
    </w:p>
    <w:p w:rsidR="001952C3" w:rsidRPr="001952C3" w:rsidRDefault="001952C3" w:rsidP="001952C3">
      <w:pPr>
        <w:ind w:right="-162"/>
        <w:rPr>
          <w:rStyle w:val="Emphasis"/>
          <w:rFonts w:ascii="Times New Roman" w:hAnsi="Times New Roman"/>
          <w:i w:val="0"/>
          <w:iCs w:val="0"/>
        </w:rPr>
      </w:pPr>
    </w:p>
    <w:p w:rsidR="001952C3" w:rsidRPr="001952C3" w:rsidRDefault="001952C3" w:rsidP="001952C3">
      <w:pPr>
        <w:ind w:right="-162"/>
        <w:rPr>
          <w:rStyle w:val="Emphasis"/>
          <w:rFonts w:ascii="Times New Roman" w:hAnsi="Times New Roman"/>
          <w:i w:val="0"/>
          <w:iCs w:val="0"/>
        </w:rPr>
      </w:pPr>
      <w:r w:rsidRPr="001952C3">
        <w:rPr>
          <w:rStyle w:val="Emphasis"/>
          <w:rFonts w:ascii="Times New Roman" w:hAnsi="Times New Roman"/>
          <w:i w:val="0"/>
          <w:iCs w:val="0"/>
        </w:rPr>
        <w:t>“As always, we will work with taxpayers who are facing hardships as a result of this crisis while continuing to protect the stability of our county finances and services.”</w:t>
      </w:r>
    </w:p>
    <w:p w:rsidR="001952C3" w:rsidRPr="001952C3" w:rsidRDefault="001952C3" w:rsidP="001952C3">
      <w:pPr>
        <w:ind w:right="-162"/>
        <w:rPr>
          <w:rStyle w:val="Emphasis"/>
          <w:rFonts w:ascii="Times New Roman" w:hAnsi="Times New Roman"/>
          <w:i w:val="0"/>
          <w:iCs w:val="0"/>
        </w:rPr>
      </w:pPr>
    </w:p>
    <w:p w:rsidR="00981A4B" w:rsidRPr="001D547E" w:rsidRDefault="001952C3" w:rsidP="00311999">
      <w:pPr>
        <w:pStyle w:val="ListParagraph"/>
        <w:numPr>
          <w:ilvl w:val="0"/>
          <w:numId w:val="12"/>
        </w:numPr>
        <w:ind w:right="-162"/>
        <w:jc w:val="center"/>
      </w:pPr>
      <w:r w:rsidRPr="001D547E">
        <w:rPr>
          <w:rStyle w:val="Emphasis"/>
          <w:rFonts w:ascii="Times New Roman" w:hAnsi="Times New Roman"/>
          <w:i w:val="0"/>
          <w:iCs w:val="0"/>
        </w:rPr>
        <w:t xml:space="preserve">After April 10, 2020 information on applying for penalty waivers will be posted </w:t>
      </w:r>
      <w:r w:rsidR="001D547E" w:rsidRPr="001D547E">
        <w:rPr>
          <w:rStyle w:val="Emphasis"/>
          <w:rFonts w:ascii="Times New Roman" w:hAnsi="Times New Roman"/>
          <w:i w:val="0"/>
          <w:iCs w:val="0"/>
        </w:rPr>
        <w:t>at:</w:t>
      </w:r>
      <w:r w:rsidR="001D547E" w:rsidRPr="001D547E">
        <w:t xml:space="preserve"> </w:t>
      </w:r>
      <w:hyperlink r:id="rId11" w:history="1">
        <w:r w:rsidR="001D547E" w:rsidRPr="001D547E">
          <w:rPr>
            <w:rFonts w:ascii="Times New Roman" w:hAnsi="Times New Roman"/>
            <w:color w:val="0000FF"/>
            <w:u w:val="single"/>
          </w:rPr>
          <w:t>https://humboldtgov.org/2088/Property-Tax-Information</w:t>
        </w:r>
      </w:hyperlink>
    </w:p>
    <w:sectPr w:rsidR="00981A4B" w:rsidRPr="001D547E" w:rsidSect="00661687">
      <w:footerReference w:type="default" r:id="rId12"/>
      <w:footerReference w:type="first" r:id="rId13"/>
      <w:pgSz w:w="12240" w:h="15840" w:code="1"/>
      <w:pgMar w:top="720" w:right="1296" w:bottom="57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D79" w:rsidRDefault="005E7D79">
      <w:r>
        <w:separator/>
      </w:r>
    </w:p>
  </w:endnote>
  <w:endnote w:type="continuationSeparator" w:id="0">
    <w:p w:rsidR="005E7D79" w:rsidRDefault="005E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687" w:rsidRDefault="00661687" w:rsidP="0066168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687" w:rsidRDefault="00661687" w:rsidP="006616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D79" w:rsidRDefault="005E7D79">
      <w:r>
        <w:separator/>
      </w:r>
    </w:p>
  </w:footnote>
  <w:footnote w:type="continuationSeparator" w:id="0">
    <w:p w:rsidR="005E7D79" w:rsidRDefault="005E7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10C39"/>
    <w:multiLevelType w:val="hybridMultilevel"/>
    <w:tmpl w:val="A22C0C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E04DE"/>
    <w:multiLevelType w:val="hybridMultilevel"/>
    <w:tmpl w:val="701A2C86"/>
    <w:lvl w:ilvl="0" w:tplc="C7A46A5A">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3382E"/>
    <w:multiLevelType w:val="hybridMultilevel"/>
    <w:tmpl w:val="E368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D44A6"/>
    <w:multiLevelType w:val="hybridMultilevel"/>
    <w:tmpl w:val="500AE0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F4D3C"/>
    <w:multiLevelType w:val="hybridMultilevel"/>
    <w:tmpl w:val="FAE0F026"/>
    <w:lvl w:ilvl="0" w:tplc="0409000B">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A96C34"/>
    <w:multiLevelType w:val="hybridMultilevel"/>
    <w:tmpl w:val="BE2670D4"/>
    <w:lvl w:ilvl="0" w:tplc="C03C6C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A65F7"/>
    <w:multiLevelType w:val="hybridMultilevel"/>
    <w:tmpl w:val="07B0670C"/>
    <w:lvl w:ilvl="0" w:tplc="1FD0BD2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07CFB"/>
    <w:multiLevelType w:val="hybridMultilevel"/>
    <w:tmpl w:val="0900ACF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5E86331"/>
    <w:multiLevelType w:val="hybridMultilevel"/>
    <w:tmpl w:val="C7CEA4FA"/>
    <w:lvl w:ilvl="0" w:tplc="C03C6C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91DBF"/>
    <w:multiLevelType w:val="hybridMultilevel"/>
    <w:tmpl w:val="A16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A51A36"/>
    <w:multiLevelType w:val="hybridMultilevel"/>
    <w:tmpl w:val="5C56DE6A"/>
    <w:lvl w:ilvl="0" w:tplc="C6449BC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C4734"/>
    <w:multiLevelType w:val="hybridMultilevel"/>
    <w:tmpl w:val="BFA6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5"/>
  </w:num>
  <w:num w:numId="8">
    <w:abstractNumId w:val="6"/>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178"/>
    <w:rsid w:val="00007178"/>
    <w:rsid w:val="00007BEF"/>
    <w:rsid w:val="00015B4D"/>
    <w:rsid w:val="000409BF"/>
    <w:rsid w:val="0004125B"/>
    <w:rsid w:val="00042B1E"/>
    <w:rsid w:val="00047D7A"/>
    <w:rsid w:val="0006083B"/>
    <w:rsid w:val="00070BB7"/>
    <w:rsid w:val="00081635"/>
    <w:rsid w:val="00087EA4"/>
    <w:rsid w:val="000B19BB"/>
    <w:rsid w:val="000C6FF8"/>
    <w:rsid w:val="000D604F"/>
    <w:rsid w:val="000F059D"/>
    <w:rsid w:val="00112FC3"/>
    <w:rsid w:val="00122850"/>
    <w:rsid w:val="001271B8"/>
    <w:rsid w:val="001329D8"/>
    <w:rsid w:val="001437E3"/>
    <w:rsid w:val="00145932"/>
    <w:rsid w:val="00152BED"/>
    <w:rsid w:val="00155A50"/>
    <w:rsid w:val="001562F3"/>
    <w:rsid w:val="00162E13"/>
    <w:rsid w:val="00165A41"/>
    <w:rsid w:val="00165E1E"/>
    <w:rsid w:val="00182285"/>
    <w:rsid w:val="00182EA9"/>
    <w:rsid w:val="001871A9"/>
    <w:rsid w:val="00194A5E"/>
    <w:rsid w:val="001952C3"/>
    <w:rsid w:val="001A002F"/>
    <w:rsid w:val="001A75CC"/>
    <w:rsid w:val="001B046B"/>
    <w:rsid w:val="001B36A1"/>
    <w:rsid w:val="001D4AA9"/>
    <w:rsid w:val="001D547E"/>
    <w:rsid w:val="00200384"/>
    <w:rsid w:val="002144D4"/>
    <w:rsid w:val="0022262B"/>
    <w:rsid w:val="00222A86"/>
    <w:rsid w:val="002246B1"/>
    <w:rsid w:val="002254D8"/>
    <w:rsid w:val="0024536D"/>
    <w:rsid w:val="00246546"/>
    <w:rsid w:val="00252F55"/>
    <w:rsid w:val="002616E9"/>
    <w:rsid w:val="00273B51"/>
    <w:rsid w:val="00293275"/>
    <w:rsid w:val="00297D9A"/>
    <w:rsid w:val="002D584F"/>
    <w:rsid w:val="002E77C5"/>
    <w:rsid w:val="002F2E37"/>
    <w:rsid w:val="002F7288"/>
    <w:rsid w:val="002F7289"/>
    <w:rsid w:val="0030242C"/>
    <w:rsid w:val="0031192D"/>
    <w:rsid w:val="00311999"/>
    <w:rsid w:val="0031666F"/>
    <w:rsid w:val="003330B4"/>
    <w:rsid w:val="003372E4"/>
    <w:rsid w:val="003517D6"/>
    <w:rsid w:val="0036050D"/>
    <w:rsid w:val="003751DD"/>
    <w:rsid w:val="00375D04"/>
    <w:rsid w:val="00376341"/>
    <w:rsid w:val="00382ADD"/>
    <w:rsid w:val="003855D5"/>
    <w:rsid w:val="00393200"/>
    <w:rsid w:val="003A07CD"/>
    <w:rsid w:val="003B1E86"/>
    <w:rsid w:val="003B322F"/>
    <w:rsid w:val="003C43EB"/>
    <w:rsid w:val="003C597E"/>
    <w:rsid w:val="003D22A4"/>
    <w:rsid w:val="003D3975"/>
    <w:rsid w:val="003D4D38"/>
    <w:rsid w:val="003E300C"/>
    <w:rsid w:val="003E5CD7"/>
    <w:rsid w:val="003E68C5"/>
    <w:rsid w:val="003F7394"/>
    <w:rsid w:val="00402BC2"/>
    <w:rsid w:val="0040517A"/>
    <w:rsid w:val="004107B5"/>
    <w:rsid w:val="00451546"/>
    <w:rsid w:val="00464D13"/>
    <w:rsid w:val="0047119A"/>
    <w:rsid w:val="004A74FD"/>
    <w:rsid w:val="004B5AEF"/>
    <w:rsid w:val="004C1F1F"/>
    <w:rsid w:val="004D2C8A"/>
    <w:rsid w:val="00505B39"/>
    <w:rsid w:val="00523BCB"/>
    <w:rsid w:val="005339CC"/>
    <w:rsid w:val="00550C63"/>
    <w:rsid w:val="00550C80"/>
    <w:rsid w:val="00552F65"/>
    <w:rsid w:val="0055356A"/>
    <w:rsid w:val="00556F1E"/>
    <w:rsid w:val="0056792B"/>
    <w:rsid w:val="005806FB"/>
    <w:rsid w:val="00581FAB"/>
    <w:rsid w:val="00586ABF"/>
    <w:rsid w:val="00590352"/>
    <w:rsid w:val="005930C5"/>
    <w:rsid w:val="0059513E"/>
    <w:rsid w:val="005963BE"/>
    <w:rsid w:val="005D01CB"/>
    <w:rsid w:val="005D0B46"/>
    <w:rsid w:val="005E1E9D"/>
    <w:rsid w:val="005E43E9"/>
    <w:rsid w:val="005E7D79"/>
    <w:rsid w:val="005F3EB7"/>
    <w:rsid w:val="005F6D8E"/>
    <w:rsid w:val="00601BD1"/>
    <w:rsid w:val="00604335"/>
    <w:rsid w:val="00606D2F"/>
    <w:rsid w:val="006274B7"/>
    <w:rsid w:val="00633BAE"/>
    <w:rsid w:val="00651FB8"/>
    <w:rsid w:val="00661687"/>
    <w:rsid w:val="00671C50"/>
    <w:rsid w:val="00681203"/>
    <w:rsid w:val="00687254"/>
    <w:rsid w:val="00691237"/>
    <w:rsid w:val="006A2AA4"/>
    <w:rsid w:val="006B27B1"/>
    <w:rsid w:val="006C44E5"/>
    <w:rsid w:val="006D07E4"/>
    <w:rsid w:val="006E4AC6"/>
    <w:rsid w:val="006F53A8"/>
    <w:rsid w:val="006F7206"/>
    <w:rsid w:val="007061D8"/>
    <w:rsid w:val="0072113D"/>
    <w:rsid w:val="00721817"/>
    <w:rsid w:val="00734691"/>
    <w:rsid w:val="00751957"/>
    <w:rsid w:val="00752B9C"/>
    <w:rsid w:val="00761DBA"/>
    <w:rsid w:val="007667B4"/>
    <w:rsid w:val="00782DCF"/>
    <w:rsid w:val="00786DAA"/>
    <w:rsid w:val="007877BA"/>
    <w:rsid w:val="007A331F"/>
    <w:rsid w:val="007A3703"/>
    <w:rsid w:val="007A6C44"/>
    <w:rsid w:val="007D1F5A"/>
    <w:rsid w:val="007D49B7"/>
    <w:rsid w:val="007D54C4"/>
    <w:rsid w:val="007E6C4B"/>
    <w:rsid w:val="00801148"/>
    <w:rsid w:val="008027AA"/>
    <w:rsid w:val="00806039"/>
    <w:rsid w:val="00813F59"/>
    <w:rsid w:val="00817550"/>
    <w:rsid w:val="008279D2"/>
    <w:rsid w:val="00836B5C"/>
    <w:rsid w:val="00850FE3"/>
    <w:rsid w:val="00855503"/>
    <w:rsid w:val="0087317E"/>
    <w:rsid w:val="00873E12"/>
    <w:rsid w:val="00884DC5"/>
    <w:rsid w:val="008913EB"/>
    <w:rsid w:val="008B06E2"/>
    <w:rsid w:val="008D3051"/>
    <w:rsid w:val="008D3059"/>
    <w:rsid w:val="008D4186"/>
    <w:rsid w:val="008E5E98"/>
    <w:rsid w:val="008F0822"/>
    <w:rsid w:val="009008FD"/>
    <w:rsid w:val="009026E6"/>
    <w:rsid w:val="00915B51"/>
    <w:rsid w:val="009170EC"/>
    <w:rsid w:val="00922A47"/>
    <w:rsid w:val="00935D5C"/>
    <w:rsid w:val="00936666"/>
    <w:rsid w:val="00946817"/>
    <w:rsid w:val="009471AC"/>
    <w:rsid w:val="009512AB"/>
    <w:rsid w:val="00957E26"/>
    <w:rsid w:val="00961615"/>
    <w:rsid w:val="00961F1C"/>
    <w:rsid w:val="00966B3E"/>
    <w:rsid w:val="00981A4B"/>
    <w:rsid w:val="009B6A08"/>
    <w:rsid w:val="009D23B0"/>
    <w:rsid w:val="009E3123"/>
    <w:rsid w:val="009E6D29"/>
    <w:rsid w:val="00A145D2"/>
    <w:rsid w:val="00A15E1C"/>
    <w:rsid w:val="00A16C0D"/>
    <w:rsid w:val="00A25558"/>
    <w:rsid w:val="00A3603F"/>
    <w:rsid w:val="00A43290"/>
    <w:rsid w:val="00A43EE9"/>
    <w:rsid w:val="00A6055F"/>
    <w:rsid w:val="00A66298"/>
    <w:rsid w:val="00A7142E"/>
    <w:rsid w:val="00A764F7"/>
    <w:rsid w:val="00A7739B"/>
    <w:rsid w:val="00A91925"/>
    <w:rsid w:val="00A93597"/>
    <w:rsid w:val="00AA69F5"/>
    <w:rsid w:val="00AB12EE"/>
    <w:rsid w:val="00AB2B40"/>
    <w:rsid w:val="00AB49B4"/>
    <w:rsid w:val="00AC65D8"/>
    <w:rsid w:val="00AE16F9"/>
    <w:rsid w:val="00AE3885"/>
    <w:rsid w:val="00AE522D"/>
    <w:rsid w:val="00AE7E82"/>
    <w:rsid w:val="00AF4A63"/>
    <w:rsid w:val="00B1538B"/>
    <w:rsid w:val="00B21F4E"/>
    <w:rsid w:val="00B25CAE"/>
    <w:rsid w:val="00B3351F"/>
    <w:rsid w:val="00B35CB4"/>
    <w:rsid w:val="00B45648"/>
    <w:rsid w:val="00B50C3A"/>
    <w:rsid w:val="00B61DCD"/>
    <w:rsid w:val="00B62836"/>
    <w:rsid w:val="00B712D7"/>
    <w:rsid w:val="00B73129"/>
    <w:rsid w:val="00B77C5D"/>
    <w:rsid w:val="00B82AA0"/>
    <w:rsid w:val="00BB47B2"/>
    <w:rsid w:val="00BC2828"/>
    <w:rsid w:val="00BC7146"/>
    <w:rsid w:val="00BD791B"/>
    <w:rsid w:val="00BE0CF9"/>
    <w:rsid w:val="00BE6606"/>
    <w:rsid w:val="00C16000"/>
    <w:rsid w:val="00C171B1"/>
    <w:rsid w:val="00C47C6B"/>
    <w:rsid w:val="00C5509E"/>
    <w:rsid w:val="00C673E9"/>
    <w:rsid w:val="00C87C90"/>
    <w:rsid w:val="00C92A92"/>
    <w:rsid w:val="00CA14CF"/>
    <w:rsid w:val="00CA7BBA"/>
    <w:rsid w:val="00CB1856"/>
    <w:rsid w:val="00CC596F"/>
    <w:rsid w:val="00CD1476"/>
    <w:rsid w:val="00CF2A2E"/>
    <w:rsid w:val="00CF4972"/>
    <w:rsid w:val="00D02B6E"/>
    <w:rsid w:val="00D03521"/>
    <w:rsid w:val="00D16C49"/>
    <w:rsid w:val="00D26D16"/>
    <w:rsid w:val="00D30704"/>
    <w:rsid w:val="00D36B8C"/>
    <w:rsid w:val="00D43DAE"/>
    <w:rsid w:val="00D547F0"/>
    <w:rsid w:val="00D60C46"/>
    <w:rsid w:val="00D636D6"/>
    <w:rsid w:val="00D63EFE"/>
    <w:rsid w:val="00D75DB0"/>
    <w:rsid w:val="00D8068D"/>
    <w:rsid w:val="00DA6976"/>
    <w:rsid w:val="00DB0DE8"/>
    <w:rsid w:val="00DD5A0C"/>
    <w:rsid w:val="00DE5F17"/>
    <w:rsid w:val="00E1079D"/>
    <w:rsid w:val="00E216F1"/>
    <w:rsid w:val="00E3041E"/>
    <w:rsid w:val="00E31F9D"/>
    <w:rsid w:val="00E42120"/>
    <w:rsid w:val="00E8456B"/>
    <w:rsid w:val="00E847CA"/>
    <w:rsid w:val="00E933D8"/>
    <w:rsid w:val="00EA49F4"/>
    <w:rsid w:val="00EB04A6"/>
    <w:rsid w:val="00EB67B2"/>
    <w:rsid w:val="00EC46FB"/>
    <w:rsid w:val="00EC7C7E"/>
    <w:rsid w:val="00ED2154"/>
    <w:rsid w:val="00ED54CD"/>
    <w:rsid w:val="00EF5984"/>
    <w:rsid w:val="00F0337E"/>
    <w:rsid w:val="00F10895"/>
    <w:rsid w:val="00F11470"/>
    <w:rsid w:val="00F11B84"/>
    <w:rsid w:val="00F23023"/>
    <w:rsid w:val="00F4056B"/>
    <w:rsid w:val="00F513ED"/>
    <w:rsid w:val="00F701C1"/>
    <w:rsid w:val="00F70B83"/>
    <w:rsid w:val="00F74EAA"/>
    <w:rsid w:val="00F96204"/>
    <w:rsid w:val="00FA16A3"/>
    <w:rsid w:val="00FA6CAB"/>
    <w:rsid w:val="00FB05CC"/>
    <w:rsid w:val="00FB1E84"/>
    <w:rsid w:val="00FC2826"/>
    <w:rsid w:val="00FC54E9"/>
    <w:rsid w:val="00FC7C93"/>
    <w:rsid w:val="00FD08EA"/>
    <w:rsid w:val="00FD0A69"/>
    <w:rsid w:val="00FD14BD"/>
    <w:rsid w:val="00FD58EB"/>
    <w:rsid w:val="00FE3A50"/>
    <w:rsid w:val="00FF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A7CE13-5610-43AC-918C-D92AA0B5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qFormat/>
    <w:rsid w:val="00BE1801"/>
    <w:pPr>
      <w:keepNext/>
      <w:spacing w:before="240" w:after="60"/>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D3A"/>
    <w:rPr>
      <w:rFonts w:ascii="Tahoma" w:hAnsi="Tahoma" w:cs="Tahoma"/>
      <w:sz w:val="16"/>
      <w:szCs w:val="16"/>
    </w:rPr>
  </w:style>
  <w:style w:type="character" w:styleId="Hyperlink">
    <w:name w:val="Hyperlink"/>
    <w:uiPriority w:val="99"/>
    <w:unhideWhenUsed/>
    <w:rsid w:val="00510354"/>
    <w:rPr>
      <w:color w:val="0000FF"/>
      <w:u w:val="single"/>
    </w:rPr>
  </w:style>
  <w:style w:type="table" w:styleId="TableGrid">
    <w:name w:val="Table Grid"/>
    <w:basedOn w:val="TableNormal"/>
    <w:rsid w:val="0080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0"/>
    <w:rsid w:val="00802B9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Footer">
    <w:name w:val="footer"/>
    <w:basedOn w:val="Normal"/>
    <w:rsid w:val="001518F3"/>
    <w:pPr>
      <w:widowControl w:val="0"/>
      <w:tabs>
        <w:tab w:val="center" w:pos="4320"/>
        <w:tab w:val="right" w:pos="8640"/>
      </w:tabs>
      <w:autoSpaceDE w:val="0"/>
      <w:autoSpaceDN w:val="0"/>
      <w:adjustRightInd w:val="0"/>
    </w:pPr>
    <w:rPr>
      <w:rFonts w:ascii="Times New Roman" w:hAnsi="Times New Roman"/>
    </w:rPr>
  </w:style>
  <w:style w:type="character" w:customStyle="1" w:styleId="CountyofHumboldt">
    <w:name w:val="County of Humboldt"/>
    <w:semiHidden/>
    <w:rsid w:val="001518F3"/>
    <w:rPr>
      <w:rFonts w:ascii="Arial" w:hAnsi="Arial" w:cs="Arial"/>
      <w:color w:val="auto"/>
      <w:sz w:val="20"/>
      <w:szCs w:val="20"/>
    </w:rPr>
  </w:style>
  <w:style w:type="paragraph" w:styleId="Header">
    <w:name w:val="header"/>
    <w:basedOn w:val="Normal"/>
    <w:link w:val="HeaderChar"/>
    <w:rsid w:val="00F04108"/>
    <w:pPr>
      <w:tabs>
        <w:tab w:val="center" w:pos="4680"/>
        <w:tab w:val="right" w:pos="9360"/>
      </w:tabs>
    </w:pPr>
  </w:style>
  <w:style w:type="character" w:customStyle="1" w:styleId="HeaderChar">
    <w:name w:val="Header Char"/>
    <w:link w:val="Header"/>
    <w:rsid w:val="00F04108"/>
    <w:rPr>
      <w:rFonts w:ascii="Century Gothic" w:hAnsi="Century Gothic"/>
      <w:sz w:val="24"/>
      <w:szCs w:val="24"/>
    </w:rPr>
  </w:style>
  <w:style w:type="character" w:customStyle="1" w:styleId="Heading1Char">
    <w:name w:val="Heading 1 Char"/>
    <w:link w:val="Heading1"/>
    <w:rsid w:val="00BE1801"/>
    <w:rPr>
      <w:rFonts w:ascii="Calibri" w:eastAsia="Times New Roman" w:hAnsi="Calibri" w:cs="Times New Roman"/>
      <w:b/>
      <w:bCs/>
      <w:kern w:val="32"/>
      <w:sz w:val="32"/>
      <w:szCs w:val="32"/>
    </w:rPr>
  </w:style>
  <w:style w:type="character" w:styleId="CommentReference">
    <w:name w:val="annotation reference"/>
    <w:rsid w:val="00556F1E"/>
    <w:rPr>
      <w:sz w:val="16"/>
      <w:szCs w:val="16"/>
    </w:rPr>
  </w:style>
  <w:style w:type="paragraph" w:styleId="CommentText">
    <w:name w:val="annotation text"/>
    <w:basedOn w:val="Normal"/>
    <w:link w:val="CommentTextChar"/>
    <w:rsid w:val="00556F1E"/>
    <w:rPr>
      <w:sz w:val="20"/>
      <w:szCs w:val="20"/>
    </w:rPr>
  </w:style>
  <w:style w:type="character" w:customStyle="1" w:styleId="CommentTextChar">
    <w:name w:val="Comment Text Char"/>
    <w:link w:val="CommentText"/>
    <w:rsid w:val="00556F1E"/>
    <w:rPr>
      <w:rFonts w:ascii="Century Gothic" w:hAnsi="Century Gothic"/>
    </w:rPr>
  </w:style>
  <w:style w:type="paragraph" w:styleId="CommentSubject">
    <w:name w:val="annotation subject"/>
    <w:basedOn w:val="CommentText"/>
    <w:next w:val="CommentText"/>
    <w:link w:val="CommentSubjectChar"/>
    <w:rsid w:val="00556F1E"/>
    <w:rPr>
      <w:b/>
      <w:bCs/>
    </w:rPr>
  </w:style>
  <w:style w:type="character" w:customStyle="1" w:styleId="CommentSubjectChar">
    <w:name w:val="Comment Subject Char"/>
    <w:link w:val="CommentSubject"/>
    <w:rsid w:val="00556F1E"/>
    <w:rPr>
      <w:rFonts w:ascii="Century Gothic" w:hAnsi="Century Gothic"/>
      <w:b/>
      <w:bCs/>
    </w:rPr>
  </w:style>
  <w:style w:type="paragraph" w:styleId="Revision">
    <w:name w:val="Revision"/>
    <w:hidden/>
    <w:uiPriority w:val="99"/>
    <w:semiHidden/>
    <w:rsid w:val="00A91925"/>
    <w:rPr>
      <w:rFonts w:ascii="Century Gothic" w:hAnsi="Century Gothic"/>
      <w:sz w:val="24"/>
      <w:szCs w:val="24"/>
    </w:rPr>
  </w:style>
  <w:style w:type="paragraph" w:customStyle="1" w:styleId="Default">
    <w:name w:val="Default"/>
    <w:rsid w:val="0012285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5509E"/>
    <w:pPr>
      <w:ind w:left="720"/>
    </w:pPr>
    <w:rPr>
      <w:rFonts w:ascii="Calibri" w:eastAsiaTheme="minorHAnsi" w:hAnsi="Calibri"/>
      <w:sz w:val="22"/>
      <w:szCs w:val="22"/>
    </w:rPr>
  </w:style>
  <w:style w:type="character" w:styleId="FollowedHyperlink">
    <w:name w:val="FollowedHyperlink"/>
    <w:basedOn w:val="DefaultParagraphFont"/>
    <w:rsid w:val="00081635"/>
    <w:rPr>
      <w:color w:val="800080" w:themeColor="followedHyperlink"/>
      <w:u w:val="single"/>
    </w:rPr>
  </w:style>
  <w:style w:type="character" w:styleId="UnresolvedMention">
    <w:name w:val="Unresolved Mention"/>
    <w:basedOn w:val="DefaultParagraphFont"/>
    <w:uiPriority w:val="99"/>
    <w:semiHidden/>
    <w:unhideWhenUsed/>
    <w:rsid w:val="002F7289"/>
    <w:rPr>
      <w:color w:val="605E5C"/>
      <w:shd w:val="clear" w:color="auto" w:fill="E1DFDD"/>
    </w:rPr>
  </w:style>
  <w:style w:type="character" w:styleId="Emphasis">
    <w:name w:val="Emphasis"/>
    <w:basedOn w:val="DefaultParagraphFont"/>
    <w:qFormat/>
    <w:rsid w:val="00246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4011">
      <w:bodyDiv w:val="1"/>
      <w:marLeft w:val="0"/>
      <w:marRight w:val="0"/>
      <w:marTop w:val="0"/>
      <w:marBottom w:val="0"/>
      <w:divBdr>
        <w:top w:val="none" w:sz="0" w:space="0" w:color="auto"/>
        <w:left w:val="none" w:sz="0" w:space="0" w:color="auto"/>
        <w:bottom w:val="none" w:sz="0" w:space="0" w:color="auto"/>
        <w:right w:val="none" w:sz="0" w:space="0" w:color="auto"/>
      </w:divBdr>
    </w:div>
    <w:div w:id="223416732">
      <w:bodyDiv w:val="1"/>
      <w:marLeft w:val="0"/>
      <w:marRight w:val="0"/>
      <w:marTop w:val="0"/>
      <w:marBottom w:val="0"/>
      <w:divBdr>
        <w:top w:val="none" w:sz="0" w:space="0" w:color="auto"/>
        <w:left w:val="none" w:sz="0" w:space="0" w:color="auto"/>
        <w:bottom w:val="none" w:sz="0" w:space="0" w:color="auto"/>
        <w:right w:val="none" w:sz="0" w:space="0" w:color="auto"/>
      </w:divBdr>
    </w:div>
    <w:div w:id="385570773">
      <w:bodyDiv w:val="1"/>
      <w:marLeft w:val="0"/>
      <w:marRight w:val="0"/>
      <w:marTop w:val="0"/>
      <w:marBottom w:val="0"/>
      <w:divBdr>
        <w:top w:val="none" w:sz="0" w:space="0" w:color="auto"/>
        <w:left w:val="none" w:sz="0" w:space="0" w:color="auto"/>
        <w:bottom w:val="none" w:sz="0" w:space="0" w:color="auto"/>
        <w:right w:val="none" w:sz="0" w:space="0" w:color="auto"/>
      </w:divBdr>
    </w:div>
    <w:div w:id="410927773">
      <w:bodyDiv w:val="1"/>
      <w:marLeft w:val="0"/>
      <w:marRight w:val="0"/>
      <w:marTop w:val="0"/>
      <w:marBottom w:val="0"/>
      <w:divBdr>
        <w:top w:val="none" w:sz="0" w:space="0" w:color="auto"/>
        <w:left w:val="none" w:sz="0" w:space="0" w:color="auto"/>
        <w:bottom w:val="none" w:sz="0" w:space="0" w:color="auto"/>
        <w:right w:val="none" w:sz="0" w:space="0" w:color="auto"/>
      </w:divBdr>
    </w:div>
    <w:div w:id="427892903">
      <w:bodyDiv w:val="1"/>
      <w:marLeft w:val="0"/>
      <w:marRight w:val="0"/>
      <w:marTop w:val="0"/>
      <w:marBottom w:val="0"/>
      <w:divBdr>
        <w:top w:val="none" w:sz="0" w:space="0" w:color="auto"/>
        <w:left w:val="none" w:sz="0" w:space="0" w:color="auto"/>
        <w:bottom w:val="none" w:sz="0" w:space="0" w:color="auto"/>
        <w:right w:val="none" w:sz="0" w:space="0" w:color="auto"/>
      </w:divBdr>
    </w:div>
    <w:div w:id="501046312">
      <w:bodyDiv w:val="1"/>
      <w:marLeft w:val="0"/>
      <w:marRight w:val="0"/>
      <w:marTop w:val="0"/>
      <w:marBottom w:val="0"/>
      <w:divBdr>
        <w:top w:val="none" w:sz="0" w:space="0" w:color="auto"/>
        <w:left w:val="none" w:sz="0" w:space="0" w:color="auto"/>
        <w:bottom w:val="none" w:sz="0" w:space="0" w:color="auto"/>
        <w:right w:val="none" w:sz="0" w:space="0" w:color="auto"/>
      </w:divBdr>
    </w:div>
    <w:div w:id="527109053">
      <w:bodyDiv w:val="1"/>
      <w:marLeft w:val="0"/>
      <w:marRight w:val="0"/>
      <w:marTop w:val="0"/>
      <w:marBottom w:val="0"/>
      <w:divBdr>
        <w:top w:val="none" w:sz="0" w:space="0" w:color="auto"/>
        <w:left w:val="none" w:sz="0" w:space="0" w:color="auto"/>
        <w:bottom w:val="none" w:sz="0" w:space="0" w:color="auto"/>
        <w:right w:val="none" w:sz="0" w:space="0" w:color="auto"/>
      </w:divBdr>
    </w:div>
    <w:div w:id="542716975">
      <w:bodyDiv w:val="1"/>
      <w:marLeft w:val="0"/>
      <w:marRight w:val="0"/>
      <w:marTop w:val="0"/>
      <w:marBottom w:val="0"/>
      <w:divBdr>
        <w:top w:val="none" w:sz="0" w:space="0" w:color="auto"/>
        <w:left w:val="none" w:sz="0" w:space="0" w:color="auto"/>
        <w:bottom w:val="none" w:sz="0" w:space="0" w:color="auto"/>
        <w:right w:val="none" w:sz="0" w:space="0" w:color="auto"/>
      </w:divBdr>
    </w:div>
    <w:div w:id="574706992">
      <w:bodyDiv w:val="1"/>
      <w:marLeft w:val="0"/>
      <w:marRight w:val="0"/>
      <w:marTop w:val="0"/>
      <w:marBottom w:val="0"/>
      <w:divBdr>
        <w:top w:val="none" w:sz="0" w:space="0" w:color="auto"/>
        <w:left w:val="none" w:sz="0" w:space="0" w:color="auto"/>
        <w:bottom w:val="none" w:sz="0" w:space="0" w:color="auto"/>
        <w:right w:val="none" w:sz="0" w:space="0" w:color="auto"/>
      </w:divBdr>
    </w:div>
    <w:div w:id="601883947">
      <w:bodyDiv w:val="1"/>
      <w:marLeft w:val="0"/>
      <w:marRight w:val="0"/>
      <w:marTop w:val="0"/>
      <w:marBottom w:val="0"/>
      <w:divBdr>
        <w:top w:val="none" w:sz="0" w:space="0" w:color="auto"/>
        <w:left w:val="none" w:sz="0" w:space="0" w:color="auto"/>
        <w:bottom w:val="none" w:sz="0" w:space="0" w:color="auto"/>
        <w:right w:val="none" w:sz="0" w:space="0" w:color="auto"/>
      </w:divBdr>
    </w:div>
    <w:div w:id="929896110">
      <w:bodyDiv w:val="1"/>
      <w:marLeft w:val="0"/>
      <w:marRight w:val="0"/>
      <w:marTop w:val="0"/>
      <w:marBottom w:val="0"/>
      <w:divBdr>
        <w:top w:val="none" w:sz="0" w:space="0" w:color="auto"/>
        <w:left w:val="none" w:sz="0" w:space="0" w:color="auto"/>
        <w:bottom w:val="none" w:sz="0" w:space="0" w:color="auto"/>
        <w:right w:val="none" w:sz="0" w:space="0" w:color="auto"/>
      </w:divBdr>
    </w:div>
    <w:div w:id="1108281637">
      <w:bodyDiv w:val="1"/>
      <w:marLeft w:val="0"/>
      <w:marRight w:val="0"/>
      <w:marTop w:val="0"/>
      <w:marBottom w:val="0"/>
      <w:divBdr>
        <w:top w:val="none" w:sz="0" w:space="0" w:color="auto"/>
        <w:left w:val="none" w:sz="0" w:space="0" w:color="auto"/>
        <w:bottom w:val="none" w:sz="0" w:space="0" w:color="auto"/>
        <w:right w:val="none" w:sz="0" w:space="0" w:color="auto"/>
      </w:divBdr>
    </w:div>
    <w:div w:id="1224871387">
      <w:bodyDiv w:val="1"/>
      <w:marLeft w:val="0"/>
      <w:marRight w:val="0"/>
      <w:marTop w:val="0"/>
      <w:marBottom w:val="0"/>
      <w:divBdr>
        <w:top w:val="none" w:sz="0" w:space="0" w:color="auto"/>
        <w:left w:val="none" w:sz="0" w:space="0" w:color="auto"/>
        <w:bottom w:val="none" w:sz="0" w:space="0" w:color="auto"/>
        <w:right w:val="none" w:sz="0" w:space="0" w:color="auto"/>
      </w:divBdr>
    </w:div>
    <w:div w:id="1251934860">
      <w:bodyDiv w:val="1"/>
      <w:marLeft w:val="0"/>
      <w:marRight w:val="0"/>
      <w:marTop w:val="0"/>
      <w:marBottom w:val="0"/>
      <w:divBdr>
        <w:top w:val="none" w:sz="0" w:space="0" w:color="auto"/>
        <w:left w:val="none" w:sz="0" w:space="0" w:color="auto"/>
        <w:bottom w:val="none" w:sz="0" w:space="0" w:color="auto"/>
        <w:right w:val="none" w:sz="0" w:space="0" w:color="auto"/>
      </w:divBdr>
    </w:div>
    <w:div w:id="1643265382">
      <w:bodyDiv w:val="1"/>
      <w:marLeft w:val="0"/>
      <w:marRight w:val="0"/>
      <w:marTop w:val="0"/>
      <w:marBottom w:val="0"/>
      <w:divBdr>
        <w:top w:val="none" w:sz="0" w:space="0" w:color="auto"/>
        <w:left w:val="none" w:sz="0" w:space="0" w:color="auto"/>
        <w:bottom w:val="none" w:sz="0" w:space="0" w:color="auto"/>
        <w:right w:val="none" w:sz="0" w:space="0" w:color="auto"/>
      </w:divBdr>
    </w:div>
    <w:div w:id="20874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boldtgov.org/2088/Property-Tax-Inform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mboldtgov.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5739-8265-474B-8C66-C577E6A2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BOARD OF SUPERVISORS</vt:lpstr>
    </vt:vector>
  </TitlesOfParts>
  <Company>County of Humboldt</Company>
  <LinksUpToDate>false</LinksUpToDate>
  <CharactersWithSpaces>2559</CharactersWithSpaces>
  <SharedDoc>false</SharedDoc>
  <HLinks>
    <vt:vector size="24" baseType="variant">
      <vt:variant>
        <vt:i4>6488125</vt:i4>
      </vt:variant>
      <vt:variant>
        <vt:i4>9</vt:i4>
      </vt:variant>
      <vt:variant>
        <vt:i4>0</vt:i4>
      </vt:variant>
      <vt:variant>
        <vt:i4>5</vt:i4>
      </vt:variant>
      <vt:variant>
        <vt:lpwstr>http://humboldtgov.org/2159/Commercial-Medical-Marijuana-Permitting</vt:lpwstr>
      </vt:variant>
      <vt:variant>
        <vt:lpwstr/>
      </vt:variant>
      <vt:variant>
        <vt:i4>6488125</vt:i4>
      </vt:variant>
      <vt:variant>
        <vt:i4>6</vt:i4>
      </vt:variant>
      <vt:variant>
        <vt:i4>0</vt:i4>
      </vt:variant>
      <vt:variant>
        <vt:i4>5</vt:i4>
      </vt:variant>
      <vt:variant>
        <vt:lpwstr>http://humboldtgov.org/2159/Commercial-Medical-Marijuana-Permitting</vt:lpwstr>
      </vt:variant>
      <vt:variant>
        <vt:lpwstr/>
      </vt:variant>
      <vt:variant>
        <vt:i4>6094916</vt:i4>
      </vt:variant>
      <vt:variant>
        <vt:i4>3</vt:i4>
      </vt:variant>
      <vt:variant>
        <vt:i4>0</vt:i4>
      </vt:variant>
      <vt:variant>
        <vt:i4>5</vt:i4>
      </vt:variant>
      <vt:variant>
        <vt:lpwstr>http://humboldtgov.org/DocumentCenter/View/53099</vt:lpwstr>
      </vt:variant>
      <vt:variant>
        <vt:lpwstr/>
      </vt:variant>
      <vt:variant>
        <vt:i4>3932268</vt:i4>
      </vt:variant>
      <vt:variant>
        <vt:i4>0</vt:i4>
      </vt:variant>
      <vt:variant>
        <vt:i4>0</vt:i4>
      </vt:variant>
      <vt:variant>
        <vt:i4>5</vt:i4>
      </vt:variant>
      <vt:variant>
        <vt:lpwstr>http://www.humboldtgov.org/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SUPERVISORS</dc:title>
  <dc:subject/>
  <dc:creator>Quincey, Sean</dc:creator>
  <cp:keywords/>
  <dc:description/>
  <cp:lastModifiedBy>Karges, Samantha</cp:lastModifiedBy>
  <cp:revision>2</cp:revision>
  <cp:lastPrinted>2017-04-27T15:05:00Z</cp:lastPrinted>
  <dcterms:created xsi:type="dcterms:W3CDTF">2020-03-27T20:56:00Z</dcterms:created>
  <dcterms:modified xsi:type="dcterms:W3CDTF">2020-03-27T20:56:00Z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56c78961-6418-49d0-a8a4-297292ba1ebf</vt:lpwstr>
  </property>
  <property fmtid="{D5CDD505-2E9C-101B-9397-08002B2CF9AE}" pid="3" name="Classification">
    <vt:lpwstr>Internal</vt:lpwstr>
  </property>
</Properties>
</file>