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23" w:rsidRPr="00CE5922" w:rsidRDefault="00057D34" w:rsidP="00CE5922">
      <w:pPr>
        <w:jc w:val="center"/>
      </w:pPr>
      <w:r w:rsidRPr="00CE5922">
        <w:rPr>
          <w:b/>
          <w:bCs/>
        </w:rPr>
        <w:t>Frequently Asked Questions Concerning Senate Bill 2 (SB2) Building Homes and Jobs Act $75 Recording Fee </w:t>
      </w:r>
    </w:p>
    <w:p w:rsidR="00EB1923" w:rsidRPr="00CE5922" w:rsidRDefault="00057D34" w:rsidP="00CE5922">
      <w:pPr>
        <w:ind w:left="720"/>
        <w:rPr>
          <w:color w:val="00642D"/>
        </w:rPr>
      </w:pPr>
      <w:r w:rsidRPr="00CE5922">
        <w:rPr>
          <w:b/>
          <w:bCs/>
          <w:color w:val="00642D"/>
        </w:rPr>
        <w:t xml:space="preserve">Q1: </w:t>
      </w:r>
      <w:r w:rsidRPr="00CE5922">
        <w:rPr>
          <w:b/>
          <w:bCs/>
          <w:color w:val="00642D"/>
        </w:rPr>
        <w:tab/>
        <w:t>What is the new</w:t>
      </w:r>
      <w:r w:rsidR="003B0938">
        <w:rPr>
          <w:b/>
          <w:bCs/>
          <w:color w:val="00642D"/>
        </w:rPr>
        <w:t xml:space="preserve"> </w:t>
      </w:r>
      <w:r>
        <w:rPr>
          <w:b/>
          <w:bCs/>
          <w:color w:val="00642D"/>
        </w:rPr>
        <w:t>Building Homes and Jobs Act</w:t>
      </w:r>
      <w:r w:rsidRPr="00CE5922">
        <w:rPr>
          <w:b/>
          <w:bCs/>
          <w:color w:val="00642D"/>
        </w:rPr>
        <w:t xml:space="preserve"> Recording Fee?</w:t>
      </w:r>
    </w:p>
    <w:p w:rsidR="00EB1923" w:rsidRPr="00CE5922" w:rsidRDefault="00057D34" w:rsidP="00CE5922">
      <w:pPr>
        <w:ind w:left="1440" w:hanging="720"/>
      </w:pPr>
      <w:r w:rsidRPr="00CE5922">
        <w:t xml:space="preserve">A: </w:t>
      </w:r>
      <w:r w:rsidRPr="00CE5922">
        <w:tab/>
        <w:t xml:space="preserve">The new fee is an additional charge passed by the legislature and signed by the governor to fund </w:t>
      </w:r>
      <w:r>
        <w:t>Building Homes and Jobs Act</w:t>
      </w:r>
      <w:r w:rsidRPr="00CE5922">
        <w:t>.  The fee is assessed at the time documents are recorded into the public record with the county recorder’s office.</w:t>
      </w:r>
    </w:p>
    <w:p w:rsidR="00EB1923" w:rsidRPr="00CE5922" w:rsidRDefault="00057D34" w:rsidP="00CE5922">
      <w:pPr>
        <w:ind w:left="720"/>
        <w:rPr>
          <w:color w:val="00642D"/>
        </w:rPr>
      </w:pPr>
      <w:r w:rsidRPr="00CE5922">
        <w:rPr>
          <w:b/>
          <w:bCs/>
          <w:color w:val="00642D"/>
        </w:rPr>
        <w:t xml:space="preserve">Q2: </w:t>
      </w:r>
      <w:r w:rsidRPr="00CE5922">
        <w:rPr>
          <w:b/>
          <w:bCs/>
          <w:color w:val="00642D"/>
        </w:rPr>
        <w:tab/>
        <w:t>Does the new Recording Fee replace previous charges for recording?</w:t>
      </w:r>
    </w:p>
    <w:p w:rsidR="00EB1923" w:rsidRPr="00CE5922" w:rsidRDefault="00057D34" w:rsidP="00CE5922">
      <w:pPr>
        <w:ind w:left="1440" w:hanging="720"/>
      </w:pPr>
      <w:r w:rsidRPr="00CE5922">
        <w:t xml:space="preserve">A: </w:t>
      </w:r>
      <w:r w:rsidRPr="00CE5922">
        <w:tab/>
        <w:t>No, the new Recording Fee is charged in</w:t>
      </w:r>
      <w:r w:rsidR="00CE5922">
        <w:t xml:space="preserve"> addition to previous recording </w:t>
      </w:r>
      <w:r w:rsidRPr="00CE5922">
        <w:t>charges collected by county recorders.</w:t>
      </w:r>
    </w:p>
    <w:p w:rsidR="00EB1923" w:rsidRPr="00CE5922" w:rsidRDefault="00057D34" w:rsidP="00CE5922">
      <w:pPr>
        <w:ind w:left="720"/>
        <w:rPr>
          <w:color w:val="00642D"/>
        </w:rPr>
      </w:pPr>
      <w:r w:rsidRPr="00CE5922">
        <w:rPr>
          <w:b/>
          <w:bCs/>
          <w:color w:val="00642D"/>
        </w:rPr>
        <w:t xml:space="preserve">Q3: </w:t>
      </w:r>
      <w:r w:rsidRPr="00CE5922">
        <w:rPr>
          <w:b/>
          <w:bCs/>
          <w:color w:val="00642D"/>
        </w:rPr>
        <w:tab/>
        <w:t>When does the new recording fee become due?</w:t>
      </w:r>
    </w:p>
    <w:p w:rsidR="00EB1923" w:rsidRPr="00CE5922" w:rsidRDefault="00057D34" w:rsidP="00CE5922">
      <w:pPr>
        <w:ind w:left="1440" w:hanging="720"/>
      </w:pPr>
      <w:r w:rsidRPr="00CE5922">
        <w:t xml:space="preserve">A: </w:t>
      </w:r>
      <w:r w:rsidRPr="00CE5922">
        <w:tab/>
        <w:t>Effective January 1, 2018, the recording fee becomes due at the time an</w:t>
      </w:r>
      <w:r w:rsidR="00CE5922">
        <w:t xml:space="preserve"> </w:t>
      </w:r>
      <w:r w:rsidRPr="00CE5922">
        <w:t>instrument, paper or notice is recorded with the county recorder’s office that is not otherwise exempt.</w:t>
      </w:r>
    </w:p>
    <w:p w:rsidR="00EB1923" w:rsidRPr="00CE5922" w:rsidRDefault="00057D34" w:rsidP="00CE5922">
      <w:pPr>
        <w:ind w:left="1440" w:hanging="720"/>
        <w:rPr>
          <w:color w:val="00642D"/>
        </w:rPr>
      </w:pPr>
      <w:r w:rsidRPr="00CE5922">
        <w:rPr>
          <w:b/>
          <w:bCs/>
          <w:color w:val="00642D"/>
        </w:rPr>
        <w:t xml:space="preserve">Q4: </w:t>
      </w:r>
      <w:r w:rsidRPr="00CE5922">
        <w:rPr>
          <w:b/>
          <w:bCs/>
          <w:color w:val="00642D"/>
        </w:rPr>
        <w:tab/>
        <w:t xml:space="preserve">Is the </w:t>
      </w:r>
      <w:r>
        <w:rPr>
          <w:b/>
          <w:bCs/>
          <w:color w:val="00642D"/>
        </w:rPr>
        <w:t>Building Homes and Jobs Act</w:t>
      </w:r>
      <w:r w:rsidRPr="00CE5922">
        <w:rPr>
          <w:b/>
          <w:bCs/>
          <w:color w:val="00642D"/>
        </w:rPr>
        <w:t xml:space="preserve"> Recordin</w:t>
      </w:r>
      <w:r w:rsidR="00CE5922" w:rsidRPr="00CE5922">
        <w:rPr>
          <w:b/>
          <w:bCs/>
          <w:color w:val="00642D"/>
        </w:rPr>
        <w:t xml:space="preserve">g Fee charged on all documents </w:t>
      </w:r>
      <w:r w:rsidRPr="00CE5922">
        <w:rPr>
          <w:b/>
          <w:bCs/>
          <w:color w:val="00642D"/>
        </w:rPr>
        <w:t>presented for recording?</w:t>
      </w:r>
    </w:p>
    <w:p w:rsidR="00EB1923" w:rsidRPr="00CE5922" w:rsidRDefault="00057D34" w:rsidP="00CE5922">
      <w:pPr>
        <w:ind w:left="1440" w:hanging="720"/>
      </w:pPr>
      <w:r w:rsidRPr="00CE5922">
        <w:t xml:space="preserve">A: </w:t>
      </w:r>
      <w:r w:rsidRPr="00CE5922">
        <w:tab/>
        <w:t xml:space="preserve">No, the </w:t>
      </w:r>
      <w:r>
        <w:t>Building Homes and Jobs Act</w:t>
      </w:r>
      <w:r w:rsidRPr="00CE5922">
        <w:t xml:space="preserve"> Recording Fee is charged on real estate instruments, papers or notices permitted by law to be recorded unless otherwise exempt.</w:t>
      </w:r>
    </w:p>
    <w:p w:rsidR="00EB1923" w:rsidRPr="00CE5922" w:rsidRDefault="00057D34" w:rsidP="00CE5922">
      <w:pPr>
        <w:ind w:firstLine="720"/>
        <w:rPr>
          <w:color w:val="00642D"/>
        </w:rPr>
      </w:pPr>
      <w:r w:rsidRPr="00CE5922">
        <w:rPr>
          <w:b/>
          <w:bCs/>
          <w:color w:val="00642D"/>
        </w:rPr>
        <w:t xml:space="preserve">Q5: </w:t>
      </w:r>
      <w:r w:rsidRPr="00CE5922">
        <w:rPr>
          <w:b/>
          <w:bCs/>
          <w:color w:val="00642D"/>
        </w:rPr>
        <w:tab/>
        <w:t>What is considered a “real estate instrument, paper or notice”?</w:t>
      </w:r>
    </w:p>
    <w:p w:rsidR="00EB1923" w:rsidRPr="00CE5922" w:rsidRDefault="00057D34" w:rsidP="00CE5922">
      <w:pPr>
        <w:ind w:left="1440" w:hanging="720"/>
      </w:pPr>
      <w:r w:rsidRPr="00CE5922">
        <w:t xml:space="preserve">A: </w:t>
      </w:r>
      <w:r w:rsidRPr="00CE5922">
        <w:tab/>
        <w:t xml:space="preserve">The new legislation defines this as a document relating to real property </w:t>
      </w:r>
      <w:r w:rsidRPr="00CE5922">
        <w:tab/>
        <w:t xml:space="preserve">and includes, but is not limited to the following: deed, grant deed, trustee’s deed, deed of trust, </w:t>
      </w:r>
      <w:proofErr w:type="spellStart"/>
      <w:r w:rsidRPr="00CE5922">
        <w:t>reconveyance</w:t>
      </w:r>
      <w:proofErr w:type="spellEnd"/>
      <w:r w:rsidRPr="00CE5922">
        <w:t xml:space="preserve">, quit claim deed, </w:t>
      </w:r>
      <w:r w:rsidRPr="00CE5922">
        <w:tab/>
        <w:t>fictitious deed of trust, assignment of deed of trust,  request for notice of default, abstract of judgment, subordina</w:t>
      </w:r>
      <w:r w:rsidR="00CE5922">
        <w:t xml:space="preserve">tion agreement, declaration of </w:t>
      </w:r>
      <w:r w:rsidRPr="00CE5922">
        <w:t>homestead, abandonment of homestead,</w:t>
      </w:r>
      <w:r w:rsidR="00CE5922">
        <w:t xml:space="preserve"> notice of default, release or </w:t>
      </w:r>
      <w:r w:rsidRPr="00CE5922">
        <w:t>discharge, easement, notice of trustee s</w:t>
      </w:r>
      <w:r w:rsidR="00CE5922">
        <w:t xml:space="preserve">ale, notice of completion, UCC </w:t>
      </w:r>
      <w:r w:rsidRPr="00CE5922">
        <w:t>financing statement, mechanic’s lien, maps, and covenants conditions and restrictions</w:t>
      </w:r>
    </w:p>
    <w:p w:rsidR="00EB1923" w:rsidRPr="00CE5922" w:rsidRDefault="00CE5922" w:rsidP="00CE5922">
      <w:pPr>
        <w:ind w:left="720"/>
        <w:rPr>
          <w:color w:val="00642D"/>
        </w:rPr>
      </w:pPr>
      <w:r w:rsidRPr="00CE5922">
        <w:rPr>
          <w:b/>
          <w:bCs/>
          <w:color w:val="00642D"/>
        </w:rPr>
        <w:t>Q6:</w:t>
      </w:r>
      <w:r w:rsidRPr="00CE5922">
        <w:rPr>
          <w:b/>
          <w:bCs/>
          <w:color w:val="00642D"/>
        </w:rPr>
        <w:tab/>
      </w:r>
      <w:r w:rsidR="00057D34" w:rsidRPr="00CE5922">
        <w:rPr>
          <w:b/>
          <w:bCs/>
          <w:color w:val="00642D"/>
        </w:rPr>
        <w:t>What is the amount of the assessment?</w:t>
      </w:r>
    </w:p>
    <w:p w:rsidR="00EB1923" w:rsidRPr="00CE5922" w:rsidRDefault="00057D34" w:rsidP="00CE5922">
      <w:pPr>
        <w:ind w:firstLine="720"/>
      </w:pPr>
      <w:r w:rsidRPr="00CE5922">
        <w:t xml:space="preserve">A: </w:t>
      </w:r>
      <w:r w:rsidRPr="00CE5922">
        <w:tab/>
        <w:t xml:space="preserve">The additional fee is $75.00 per instrument, paper or notice per each single </w:t>
      </w:r>
      <w:r w:rsidRPr="00CE5922">
        <w:tab/>
      </w:r>
      <w:r w:rsidR="00CE5922">
        <w:tab/>
      </w:r>
      <w:r w:rsidR="00CE5922">
        <w:tab/>
      </w:r>
      <w:r w:rsidR="00CE5922">
        <w:tab/>
      </w:r>
      <w:r w:rsidRPr="00CE5922">
        <w:t>transaction per parcel of real property.</w:t>
      </w:r>
    </w:p>
    <w:p w:rsidR="00EB1923" w:rsidRPr="00CE5922" w:rsidRDefault="00057D34" w:rsidP="00CE5922">
      <w:pPr>
        <w:ind w:firstLine="720"/>
        <w:rPr>
          <w:color w:val="00642D"/>
        </w:rPr>
      </w:pPr>
      <w:r w:rsidRPr="00CE5922">
        <w:rPr>
          <w:b/>
          <w:bCs/>
          <w:color w:val="00642D"/>
        </w:rPr>
        <w:t xml:space="preserve">Q7: </w:t>
      </w:r>
      <w:r w:rsidRPr="00CE5922">
        <w:rPr>
          <w:b/>
          <w:bCs/>
          <w:color w:val="00642D"/>
        </w:rPr>
        <w:tab/>
        <w:t>What is considered a “</w:t>
      </w:r>
      <w:r>
        <w:rPr>
          <w:b/>
          <w:bCs/>
          <w:color w:val="00642D"/>
        </w:rPr>
        <w:t>si</w:t>
      </w:r>
      <w:r w:rsidRPr="00CE5922">
        <w:rPr>
          <w:b/>
          <w:bCs/>
          <w:color w:val="00642D"/>
        </w:rPr>
        <w:t xml:space="preserve">ngle </w:t>
      </w:r>
      <w:r>
        <w:rPr>
          <w:b/>
          <w:bCs/>
          <w:color w:val="00642D"/>
        </w:rPr>
        <w:t>t</w:t>
      </w:r>
      <w:r w:rsidRPr="00CE5922">
        <w:rPr>
          <w:b/>
          <w:bCs/>
          <w:color w:val="00642D"/>
        </w:rPr>
        <w:t>ransaction”?</w:t>
      </w:r>
    </w:p>
    <w:p w:rsidR="00EB1923" w:rsidRPr="00CE5922" w:rsidRDefault="00057D34" w:rsidP="00CE5922">
      <w:pPr>
        <w:ind w:left="1440" w:hanging="720"/>
      </w:pPr>
      <w:r w:rsidRPr="00CE5922">
        <w:t xml:space="preserve">A: </w:t>
      </w:r>
      <w:r w:rsidRPr="00CE5922">
        <w:tab/>
        <w:t>The Recorder</w:t>
      </w:r>
      <w:r w:rsidR="00CE5922">
        <w:t>’</w:t>
      </w:r>
      <w:r w:rsidRPr="00CE5922">
        <w:t xml:space="preserve">s </w:t>
      </w:r>
      <w:r w:rsidR="00CE5922">
        <w:t xml:space="preserve">Association </w:t>
      </w:r>
      <w:r w:rsidRPr="00CE5922">
        <w:t>has defined transaction as “instruments, paper</w:t>
      </w:r>
      <w:r w:rsidR="00CE5922">
        <w:t>s,</w:t>
      </w:r>
      <w:r w:rsidRPr="00CE5922">
        <w:t xml:space="preserve"> or notice</w:t>
      </w:r>
      <w:r w:rsidR="00CE5922">
        <w:t>s</w:t>
      </w:r>
      <w:r w:rsidRPr="00CE5922">
        <w:t xml:space="preserve"> presented together and related to the same parties and property transfer </w:t>
      </w:r>
      <w:r w:rsidRPr="00CE5922">
        <w:rPr>
          <w:i/>
          <w:iCs/>
        </w:rPr>
        <w:t>(DRIM).</w:t>
      </w:r>
      <w:r w:rsidRPr="00CE5922">
        <w:t xml:space="preserve"> </w:t>
      </w:r>
    </w:p>
    <w:p w:rsidR="00EB1923" w:rsidRPr="00CE5922" w:rsidRDefault="00057D34" w:rsidP="00CE5922">
      <w:pPr>
        <w:ind w:firstLine="720"/>
        <w:rPr>
          <w:color w:val="00642D"/>
        </w:rPr>
      </w:pPr>
      <w:r w:rsidRPr="00CE5922">
        <w:rPr>
          <w:b/>
          <w:bCs/>
          <w:color w:val="00642D"/>
        </w:rPr>
        <w:lastRenderedPageBreak/>
        <w:t>Q8:</w:t>
      </w:r>
      <w:r w:rsidRPr="00CE5922">
        <w:rPr>
          <w:b/>
          <w:bCs/>
          <w:color w:val="00642D"/>
        </w:rPr>
        <w:tab/>
        <w:t>Is there a maximum aggregate housing fee charge per transaction?</w:t>
      </w:r>
    </w:p>
    <w:p w:rsidR="00EB1923" w:rsidRPr="00CE5922" w:rsidRDefault="00057D34" w:rsidP="00CE5922">
      <w:pPr>
        <w:ind w:left="1440" w:hanging="720"/>
      </w:pPr>
      <w:r w:rsidRPr="00CE5922">
        <w:t xml:space="preserve">A: </w:t>
      </w:r>
      <w:r w:rsidRPr="00CE5922">
        <w:tab/>
        <w:t>Yes. The maximum aggregate housing fee charge for real estate instrument, paper or notice recorded in a single transaction is $225.00.</w:t>
      </w:r>
    </w:p>
    <w:p w:rsidR="00EB1923" w:rsidRPr="00CE5922" w:rsidRDefault="00057D34" w:rsidP="00057D34">
      <w:pPr>
        <w:ind w:left="1440" w:hanging="720"/>
      </w:pPr>
      <w:r w:rsidRPr="00CE5922">
        <w:rPr>
          <w:b/>
          <w:bCs/>
        </w:rPr>
        <w:t xml:space="preserve">Q9: </w:t>
      </w:r>
      <w:r w:rsidRPr="00CE5922">
        <w:rPr>
          <w:b/>
          <w:bCs/>
        </w:rPr>
        <w:tab/>
      </w:r>
      <w:r w:rsidRPr="00CE5922">
        <w:rPr>
          <w:b/>
          <w:bCs/>
          <w:color w:val="00642D"/>
        </w:rPr>
        <w:t>Are any real estate instruments exem</w:t>
      </w:r>
      <w:r w:rsidR="00CE5922">
        <w:rPr>
          <w:b/>
          <w:bCs/>
          <w:color w:val="00642D"/>
        </w:rPr>
        <w:t xml:space="preserve">pt from the </w:t>
      </w:r>
      <w:r>
        <w:rPr>
          <w:b/>
          <w:bCs/>
          <w:color w:val="00642D"/>
        </w:rPr>
        <w:t>Building Homes and Jobs Act</w:t>
      </w:r>
      <w:r w:rsidR="00CE5922">
        <w:rPr>
          <w:b/>
          <w:bCs/>
          <w:color w:val="00642D"/>
        </w:rPr>
        <w:t xml:space="preserve"> </w:t>
      </w:r>
      <w:r w:rsidRPr="00CE5922">
        <w:rPr>
          <w:b/>
          <w:bCs/>
          <w:color w:val="00642D"/>
        </w:rPr>
        <w:t>Recording Fee?</w:t>
      </w:r>
    </w:p>
    <w:p w:rsidR="00EB1923" w:rsidRPr="00CE5922" w:rsidRDefault="00057D34" w:rsidP="00CE5922">
      <w:pPr>
        <w:ind w:left="1440" w:hanging="720"/>
      </w:pPr>
      <w:r w:rsidRPr="00CE5922">
        <w:t>A:</w:t>
      </w:r>
      <w:r w:rsidRPr="00CE5922">
        <w:tab/>
        <w:t xml:space="preserve"> Yes. The following real estate instruments, papers or notices are exempt from the additional Recording Fee:</w:t>
      </w:r>
    </w:p>
    <w:p w:rsidR="00EB1923" w:rsidRPr="00CE5922" w:rsidRDefault="00057D34" w:rsidP="00CE5922">
      <w:pPr>
        <w:numPr>
          <w:ilvl w:val="1"/>
          <w:numId w:val="3"/>
        </w:numPr>
      </w:pPr>
      <w:r w:rsidRPr="00CE5922">
        <w:t xml:space="preserve">Those transfers subject to and paying </w:t>
      </w:r>
      <w:r w:rsidR="00FF4F17" w:rsidRPr="00CE5922">
        <w:t xml:space="preserve">documentary transfer tax </w:t>
      </w:r>
      <w:r w:rsidR="00FF4F17">
        <w:t>(</w:t>
      </w:r>
      <w:r w:rsidRPr="00CE5922">
        <w:t>DTT</w:t>
      </w:r>
      <w:r w:rsidR="00FF4F17">
        <w:t>)</w:t>
      </w:r>
      <w:r w:rsidRPr="00CE5922">
        <w:t xml:space="preserve"> at the time of recording</w:t>
      </w:r>
      <w:r w:rsidR="00CE5922">
        <w:t>;</w:t>
      </w:r>
    </w:p>
    <w:p w:rsidR="00EB1923" w:rsidRPr="00CE5922" w:rsidRDefault="00057D34" w:rsidP="00CE5922">
      <w:pPr>
        <w:numPr>
          <w:ilvl w:val="1"/>
          <w:numId w:val="3"/>
        </w:numPr>
      </w:pPr>
      <w:r w:rsidRPr="00CE5922">
        <w:t>Those recorded</w:t>
      </w:r>
      <w:r w:rsidR="007D330F">
        <w:t xml:space="preserve"> concurrently</w:t>
      </w:r>
      <w:r w:rsidRPr="00CE5922">
        <w:t xml:space="preserve"> in connection with a transfer subject to </w:t>
      </w:r>
      <w:r w:rsidR="00FF4F17">
        <w:t>DTT</w:t>
      </w:r>
      <w:r w:rsidRPr="00CE5922">
        <w:t xml:space="preserve">; </w:t>
      </w:r>
    </w:p>
    <w:p w:rsidR="00EB1923" w:rsidRPr="00CE5922" w:rsidRDefault="00057D34" w:rsidP="00CE5922">
      <w:pPr>
        <w:numPr>
          <w:ilvl w:val="1"/>
          <w:numId w:val="3"/>
        </w:numPr>
      </w:pPr>
      <w:r w:rsidRPr="00CE5922">
        <w:t xml:space="preserve">Those recorded </w:t>
      </w:r>
      <w:r w:rsidR="007D330F">
        <w:t xml:space="preserve">concurrently </w:t>
      </w:r>
      <w:r w:rsidRPr="00CE5922">
        <w:t>in connection with a transfer of real property that is a residential</w:t>
      </w:r>
      <w:r w:rsidR="00CE5922">
        <w:t xml:space="preserve"> dwelling to an owner-occupier;</w:t>
      </w:r>
    </w:p>
    <w:p w:rsidR="00EB1923" w:rsidRDefault="00057D34" w:rsidP="00CE5922">
      <w:pPr>
        <w:numPr>
          <w:ilvl w:val="1"/>
          <w:numId w:val="3"/>
        </w:numPr>
      </w:pPr>
      <w:r w:rsidRPr="00CE5922">
        <w:t>Those which are not related to real property</w:t>
      </w:r>
      <w:r w:rsidR="00AE5E7F">
        <w:t>;</w:t>
      </w:r>
    </w:p>
    <w:p w:rsidR="00684C7A" w:rsidRDefault="00684C7A" w:rsidP="00CE5922">
      <w:pPr>
        <w:numPr>
          <w:ilvl w:val="1"/>
          <w:numId w:val="3"/>
        </w:numPr>
      </w:pPr>
      <w:r>
        <w:t>Documents recorded concurrently in connection with a transfer for which the maximum $225 fee has been collected;</w:t>
      </w:r>
    </w:p>
    <w:p w:rsidR="00AE5E7F" w:rsidRPr="00CE5922" w:rsidRDefault="00AE5E7F" w:rsidP="00CE5922">
      <w:pPr>
        <w:numPr>
          <w:ilvl w:val="1"/>
          <w:numId w:val="3"/>
        </w:numPr>
      </w:pPr>
      <w:r>
        <w:t xml:space="preserve">Those which are </w:t>
      </w:r>
      <w:r w:rsidR="007D330F">
        <w:t xml:space="preserve">expressly </w:t>
      </w:r>
      <w:proofErr w:type="gramStart"/>
      <w:r>
        <w:t>exempt</w:t>
      </w:r>
      <w:r w:rsidR="007D330F">
        <w:t xml:space="preserve">  </w:t>
      </w:r>
      <w:bookmarkStart w:id="0" w:name="_GoBack"/>
      <w:bookmarkEnd w:id="0"/>
      <w:r>
        <w:t>pursuant</w:t>
      </w:r>
      <w:proofErr w:type="gramEnd"/>
      <w:r>
        <w:t xml:space="preserve"> to Government Code section 27383.</w:t>
      </w:r>
    </w:p>
    <w:p w:rsidR="00EB1923" w:rsidRPr="00AE5E7F" w:rsidRDefault="00057D34" w:rsidP="00AE5E7F">
      <w:pPr>
        <w:ind w:left="1440" w:hanging="720"/>
        <w:rPr>
          <w:b/>
          <w:bCs/>
        </w:rPr>
      </w:pPr>
      <w:r w:rsidRPr="00AE5E7F">
        <w:rPr>
          <w:b/>
          <w:bCs/>
          <w:color w:val="00642D"/>
        </w:rPr>
        <w:t xml:space="preserve">Q10: </w:t>
      </w:r>
      <w:r w:rsidRPr="00AE5E7F">
        <w:rPr>
          <w:b/>
          <w:bCs/>
          <w:color w:val="00642D"/>
        </w:rPr>
        <w:tab/>
        <w:t>How will a county recorder determine that the maximum has been paid, such that additional instruments recorded in connection with a single</w:t>
      </w:r>
      <w:r w:rsidR="00AE5E7F">
        <w:rPr>
          <w:b/>
          <w:bCs/>
          <w:color w:val="00642D"/>
        </w:rPr>
        <w:t xml:space="preserve"> </w:t>
      </w:r>
      <w:r w:rsidRPr="00AE5E7F">
        <w:rPr>
          <w:b/>
          <w:bCs/>
          <w:color w:val="00642D"/>
        </w:rPr>
        <w:t>transaction are not charged an additional recording fee?</w:t>
      </w:r>
      <w:r w:rsidRPr="00AE5E7F">
        <w:rPr>
          <w:b/>
          <w:bCs/>
          <w:color w:val="00642D"/>
        </w:rPr>
        <w:tab/>
      </w:r>
    </w:p>
    <w:p w:rsidR="00EB1923" w:rsidRDefault="00057D34" w:rsidP="00AE5E7F">
      <w:pPr>
        <w:ind w:left="1440" w:hanging="720"/>
        <w:rPr>
          <w:bCs/>
        </w:rPr>
      </w:pPr>
      <w:r w:rsidRPr="00AE5E7F">
        <w:rPr>
          <w:bCs/>
        </w:rPr>
        <w:t xml:space="preserve">A:  </w:t>
      </w:r>
      <w:r w:rsidRPr="00AE5E7F">
        <w:rPr>
          <w:bCs/>
        </w:rPr>
        <w:tab/>
        <w:t xml:space="preserve">After the maximum </w:t>
      </w:r>
      <w:r>
        <w:rPr>
          <w:bCs/>
        </w:rPr>
        <w:t>Building Homes and Jobs Act</w:t>
      </w:r>
      <w:r w:rsidRPr="00AE5E7F">
        <w:rPr>
          <w:bCs/>
        </w:rPr>
        <w:t xml:space="preserve"> Recording Fee of $225 has been met, the document submitter </w:t>
      </w:r>
      <w:r w:rsidR="00684C7A">
        <w:rPr>
          <w:bCs/>
        </w:rPr>
        <w:t>must expressly note that the document is exempt because imposition of the fee would exceed the $225 cap</w:t>
      </w:r>
      <w:r w:rsidRPr="00AE5E7F">
        <w:rPr>
          <w:bCs/>
        </w:rPr>
        <w:t xml:space="preserve">.  </w:t>
      </w:r>
    </w:p>
    <w:p w:rsidR="00EB1923" w:rsidRPr="00684C7A" w:rsidRDefault="00FF4F17" w:rsidP="00FF4F17">
      <w:pPr>
        <w:ind w:left="1440" w:hanging="720"/>
        <w:rPr>
          <w:bCs/>
        </w:rPr>
      </w:pPr>
      <w:r w:rsidRPr="00AE5E7F">
        <w:rPr>
          <w:b/>
          <w:bCs/>
          <w:color w:val="00642D"/>
        </w:rPr>
        <w:t>Q1</w:t>
      </w:r>
      <w:r>
        <w:rPr>
          <w:b/>
          <w:bCs/>
          <w:color w:val="00642D"/>
        </w:rPr>
        <w:t>1</w:t>
      </w:r>
      <w:r w:rsidRPr="00AE5E7F">
        <w:rPr>
          <w:b/>
          <w:bCs/>
          <w:color w:val="00642D"/>
        </w:rPr>
        <w:t>:</w:t>
      </w:r>
      <w:r>
        <w:rPr>
          <w:b/>
          <w:bCs/>
          <w:color w:val="00642D"/>
        </w:rPr>
        <w:tab/>
      </w:r>
      <w:r w:rsidR="00057D34" w:rsidRPr="00FF4F17">
        <w:rPr>
          <w:b/>
          <w:bCs/>
          <w:color w:val="00642D"/>
        </w:rPr>
        <w:t>What real estate instruments, papers or notices will be considered recorded “in connection with” a transfer subject to the imposition of documentary transfer tax?</w:t>
      </w:r>
    </w:p>
    <w:p w:rsidR="00EB1923" w:rsidRPr="00684C7A" w:rsidRDefault="00057D34" w:rsidP="00FF4F17">
      <w:pPr>
        <w:ind w:left="1440" w:hanging="720"/>
        <w:rPr>
          <w:bCs/>
        </w:rPr>
      </w:pPr>
      <w:r w:rsidRPr="00684C7A">
        <w:rPr>
          <w:bCs/>
        </w:rPr>
        <w:t xml:space="preserve">A: </w:t>
      </w:r>
      <w:r w:rsidRPr="00684C7A">
        <w:rPr>
          <w:bCs/>
        </w:rPr>
        <w:tab/>
        <w:t>The instrument with documentary transfer tax stamped and paid on it is self-evident, and requires no additional stamp.</w:t>
      </w:r>
    </w:p>
    <w:p w:rsidR="00FF4F17" w:rsidRDefault="00FF4F17" w:rsidP="00FF4F17">
      <w:pPr>
        <w:ind w:left="1440"/>
        <w:rPr>
          <w:bCs/>
        </w:rPr>
      </w:pPr>
      <w:r>
        <w:rPr>
          <w:bCs/>
        </w:rPr>
        <w:t xml:space="preserve">The Recorder interprets </w:t>
      </w:r>
      <w:r w:rsidR="00057D34" w:rsidRPr="00684C7A">
        <w:rPr>
          <w:bCs/>
        </w:rPr>
        <w:t>“</w:t>
      </w:r>
      <w:r>
        <w:rPr>
          <w:bCs/>
        </w:rPr>
        <w:t>i</w:t>
      </w:r>
      <w:r w:rsidR="00057D34" w:rsidRPr="00684C7A">
        <w:rPr>
          <w:bCs/>
        </w:rPr>
        <w:t xml:space="preserve">n connection with” to mean documents involving the same parties and/or same property that are recorded </w:t>
      </w:r>
      <w:r w:rsidR="00057D34" w:rsidRPr="006E2B08">
        <w:rPr>
          <w:b/>
          <w:bCs/>
          <w:i/>
          <w:iCs/>
          <w:color w:val="00642D"/>
        </w:rPr>
        <w:t>concurrently</w:t>
      </w:r>
      <w:r w:rsidR="00057D34" w:rsidRPr="00684C7A">
        <w:rPr>
          <w:bCs/>
        </w:rPr>
        <w:t>.  Documents recorded concurrently will have to include an exemption indicating they are part of an exempt transaction.</w:t>
      </w:r>
    </w:p>
    <w:p w:rsidR="00EB1923" w:rsidRPr="00684C7A" w:rsidRDefault="00FF4F17" w:rsidP="00FF4F17">
      <w:pPr>
        <w:rPr>
          <w:bCs/>
        </w:rPr>
      </w:pPr>
      <w:r>
        <w:rPr>
          <w:bCs/>
        </w:rPr>
        <w:t>//</w:t>
      </w:r>
      <w:r w:rsidR="00057D34" w:rsidRPr="00684C7A">
        <w:rPr>
          <w:bCs/>
        </w:rPr>
        <w:t xml:space="preserve">  </w:t>
      </w:r>
      <w:r>
        <w:rPr>
          <w:bCs/>
        </w:rPr>
        <w:t xml:space="preserve"> </w:t>
      </w:r>
    </w:p>
    <w:p w:rsidR="00EB1923" w:rsidRPr="00FF4F17" w:rsidRDefault="00057D34" w:rsidP="00FF4F17">
      <w:pPr>
        <w:ind w:left="1440" w:hanging="720"/>
        <w:rPr>
          <w:bCs/>
          <w:color w:val="00642D"/>
        </w:rPr>
      </w:pPr>
      <w:r w:rsidRPr="00FF4F17">
        <w:rPr>
          <w:b/>
          <w:bCs/>
          <w:color w:val="00642D"/>
        </w:rPr>
        <w:lastRenderedPageBreak/>
        <w:t>Q1</w:t>
      </w:r>
      <w:r w:rsidR="00FF4F17" w:rsidRPr="00FF4F17">
        <w:rPr>
          <w:b/>
          <w:bCs/>
          <w:color w:val="00642D"/>
        </w:rPr>
        <w:t>2</w:t>
      </w:r>
      <w:r w:rsidRPr="00FF4F17">
        <w:rPr>
          <w:b/>
          <w:bCs/>
          <w:color w:val="00642D"/>
        </w:rPr>
        <w:t xml:space="preserve">: </w:t>
      </w:r>
      <w:r w:rsidRPr="00FF4F17">
        <w:rPr>
          <w:b/>
          <w:bCs/>
          <w:color w:val="00642D"/>
        </w:rPr>
        <w:tab/>
        <w:t>What real estate instruments, papers or notices will be considered recorded “in connection with” a transfer of real property that is a residential dwelling to an owner-occupier?</w:t>
      </w:r>
    </w:p>
    <w:p w:rsidR="00EB1923" w:rsidRDefault="00057D34" w:rsidP="00FF4F17">
      <w:pPr>
        <w:ind w:left="1440" w:hanging="720"/>
        <w:rPr>
          <w:bCs/>
        </w:rPr>
      </w:pPr>
      <w:r w:rsidRPr="00FF4F17">
        <w:rPr>
          <w:bCs/>
        </w:rPr>
        <w:t xml:space="preserve">A: </w:t>
      </w:r>
      <w:r w:rsidRPr="00FF4F17">
        <w:rPr>
          <w:bCs/>
        </w:rPr>
        <w:tab/>
        <w:t>All instruments necessary to transfer ownership, relinquish debt</w:t>
      </w:r>
      <w:r w:rsidR="00FF4F17">
        <w:rPr>
          <w:bCs/>
        </w:rPr>
        <w:t>,</w:t>
      </w:r>
      <w:r w:rsidRPr="00FF4F17">
        <w:rPr>
          <w:bCs/>
        </w:rPr>
        <w:t xml:space="preserve"> and secure new debt recorded in a single transaction will be considered to be in connection with an exempt transfer, if an exemption is declared and presented with the document.</w:t>
      </w:r>
    </w:p>
    <w:p w:rsidR="00EB1923" w:rsidRPr="00FF4F17" w:rsidRDefault="00057D34" w:rsidP="00FF4F17">
      <w:pPr>
        <w:ind w:left="1440" w:hanging="720"/>
        <w:rPr>
          <w:bCs/>
          <w:color w:val="00642D"/>
        </w:rPr>
      </w:pPr>
      <w:r w:rsidRPr="00FF4F17">
        <w:rPr>
          <w:b/>
          <w:bCs/>
          <w:color w:val="00642D"/>
        </w:rPr>
        <w:t>Q1</w:t>
      </w:r>
      <w:r w:rsidR="00FF4F17">
        <w:rPr>
          <w:b/>
          <w:bCs/>
          <w:color w:val="00642D"/>
        </w:rPr>
        <w:t>3</w:t>
      </w:r>
      <w:r w:rsidRPr="00FF4F17">
        <w:rPr>
          <w:b/>
          <w:bCs/>
          <w:color w:val="00642D"/>
        </w:rPr>
        <w:t xml:space="preserve">:  </w:t>
      </w:r>
      <w:r w:rsidRPr="00FF4F17">
        <w:rPr>
          <w:b/>
          <w:bCs/>
          <w:color w:val="00642D"/>
        </w:rPr>
        <w:tab/>
        <w:t>For a real estate instrument paper or notice to be considered recorded “in connection with” a transfer of real property that is a residential dwelling to an owner-occupier, must such document(s) be recorded concurrently with the document transferring a residential dwelling to an owner-occupier?</w:t>
      </w:r>
    </w:p>
    <w:p w:rsidR="00FF4F17" w:rsidRPr="00FF4F17" w:rsidRDefault="00FF4F17" w:rsidP="00FF4F17">
      <w:pPr>
        <w:ind w:left="1440" w:hanging="720"/>
        <w:rPr>
          <w:bCs/>
        </w:rPr>
      </w:pPr>
      <w:r w:rsidRPr="00FF4F17">
        <w:rPr>
          <w:bCs/>
        </w:rPr>
        <w:t xml:space="preserve">A: </w:t>
      </w:r>
      <w:r w:rsidRPr="00FF4F17">
        <w:rPr>
          <w:bCs/>
        </w:rPr>
        <w:tab/>
        <w:t xml:space="preserve">“In connection with” will be interpreted to mean documents involving the same parties and/or same property that are recorded </w:t>
      </w:r>
      <w:r w:rsidRPr="00FF4F17">
        <w:rPr>
          <w:bCs/>
          <w:i/>
          <w:iCs/>
        </w:rPr>
        <w:t>concurrently</w:t>
      </w:r>
      <w:r w:rsidRPr="00FF4F17">
        <w:rPr>
          <w:bCs/>
        </w:rPr>
        <w:t xml:space="preserve">.  </w:t>
      </w:r>
    </w:p>
    <w:p w:rsidR="00EB1923" w:rsidRPr="006E2B08" w:rsidRDefault="00057D34" w:rsidP="00FF4F17">
      <w:pPr>
        <w:ind w:left="1440" w:hanging="720"/>
        <w:rPr>
          <w:bCs/>
          <w:color w:val="00642D"/>
        </w:rPr>
      </w:pPr>
      <w:r w:rsidRPr="006E2B08">
        <w:rPr>
          <w:b/>
          <w:bCs/>
          <w:color w:val="00642D"/>
        </w:rPr>
        <w:t xml:space="preserve">Q15: </w:t>
      </w:r>
      <w:r w:rsidRPr="006E2B08">
        <w:rPr>
          <w:b/>
          <w:bCs/>
          <w:color w:val="00642D"/>
        </w:rPr>
        <w:tab/>
        <w:t xml:space="preserve">How are documents with multiple titles going to be charged </w:t>
      </w:r>
      <w:r>
        <w:rPr>
          <w:b/>
          <w:bCs/>
          <w:color w:val="00642D"/>
        </w:rPr>
        <w:t>Building Homes and Jobs Act</w:t>
      </w:r>
      <w:r w:rsidRPr="006E2B08">
        <w:rPr>
          <w:b/>
          <w:bCs/>
          <w:color w:val="00642D"/>
        </w:rPr>
        <w:t xml:space="preserve"> Recording Fees?</w:t>
      </w:r>
      <w:r w:rsidRPr="006E2B08">
        <w:rPr>
          <w:b/>
          <w:bCs/>
          <w:color w:val="00642D"/>
        </w:rPr>
        <w:tab/>
      </w:r>
    </w:p>
    <w:p w:rsidR="006E2B08" w:rsidRDefault="00057D34" w:rsidP="00FF4F17">
      <w:pPr>
        <w:ind w:left="1440" w:hanging="720"/>
        <w:rPr>
          <w:bCs/>
        </w:rPr>
      </w:pPr>
      <w:r w:rsidRPr="00FF4F17">
        <w:rPr>
          <w:bCs/>
        </w:rPr>
        <w:t>A:</w:t>
      </w:r>
      <w:r w:rsidRPr="00FF4F17">
        <w:rPr>
          <w:bCs/>
        </w:rPr>
        <w:tab/>
        <w:t xml:space="preserve">Documents with multiple titles will be charged </w:t>
      </w:r>
      <w:r w:rsidRPr="00FF4F17">
        <w:rPr>
          <w:bCs/>
          <w:i/>
          <w:iCs/>
        </w:rPr>
        <w:t>per title</w:t>
      </w:r>
      <w:r w:rsidRPr="00FF4F17">
        <w:rPr>
          <w:bCs/>
        </w:rPr>
        <w:t xml:space="preserve">.  </w:t>
      </w:r>
      <w:r w:rsidR="006E2B08">
        <w:rPr>
          <w:bCs/>
        </w:rPr>
        <w:t>For example:</w:t>
      </w:r>
    </w:p>
    <w:p w:rsidR="006E2B08" w:rsidRDefault="00057D34" w:rsidP="006E2B08">
      <w:pPr>
        <w:ind w:left="1440"/>
        <w:rPr>
          <w:bCs/>
        </w:rPr>
      </w:pPr>
      <w:r w:rsidRPr="00FF4F17">
        <w:rPr>
          <w:bCs/>
        </w:rPr>
        <w:t xml:space="preserve">(1) Substitution of Trustee and Full </w:t>
      </w:r>
      <w:proofErr w:type="spellStart"/>
      <w:r w:rsidRPr="00FF4F17">
        <w:rPr>
          <w:bCs/>
        </w:rPr>
        <w:t>Reco</w:t>
      </w:r>
      <w:r w:rsidR="006E2B08">
        <w:rPr>
          <w:bCs/>
        </w:rPr>
        <w:t>nveyance</w:t>
      </w:r>
      <w:proofErr w:type="spellEnd"/>
      <w:r w:rsidR="006E2B08">
        <w:rPr>
          <w:bCs/>
        </w:rPr>
        <w:t xml:space="preserve"> (2 titles):</w:t>
      </w:r>
      <w:r w:rsidR="00FF4F17">
        <w:rPr>
          <w:bCs/>
        </w:rPr>
        <w:t xml:space="preserve">  The </w:t>
      </w:r>
      <w:r w:rsidR="006E2B08">
        <w:rPr>
          <w:bCs/>
        </w:rPr>
        <w:t>fee</w:t>
      </w:r>
      <w:r w:rsidR="00FF4F17">
        <w:rPr>
          <w:bCs/>
        </w:rPr>
        <w:t xml:space="preserve"> is </w:t>
      </w:r>
      <w:r w:rsidR="006E2B08">
        <w:rPr>
          <w:bCs/>
        </w:rPr>
        <w:t xml:space="preserve">$75 x 2 titles = $150.  </w:t>
      </w:r>
    </w:p>
    <w:p w:rsidR="00EB1923" w:rsidRPr="00FF4F17" w:rsidRDefault="006E2B08" w:rsidP="006E2B08">
      <w:pPr>
        <w:ind w:left="1440"/>
        <w:rPr>
          <w:bCs/>
        </w:rPr>
      </w:pPr>
      <w:r>
        <w:rPr>
          <w:bCs/>
        </w:rPr>
        <w:t xml:space="preserve">(2) </w:t>
      </w:r>
      <w:r w:rsidR="00057D34" w:rsidRPr="00FF4F17">
        <w:rPr>
          <w:bCs/>
        </w:rPr>
        <w:t xml:space="preserve">Assignment, Substitution of Trustee, </w:t>
      </w:r>
      <w:r w:rsidR="00057D34" w:rsidRPr="00FF4F17">
        <w:rPr>
          <w:bCs/>
        </w:rPr>
        <w:tab/>
      </w:r>
      <w:proofErr w:type="spellStart"/>
      <w:r w:rsidR="00057D34" w:rsidRPr="00FF4F17">
        <w:rPr>
          <w:bCs/>
        </w:rPr>
        <w:t>Reconveyance</w:t>
      </w:r>
      <w:proofErr w:type="spellEnd"/>
      <w:r w:rsidR="00057D34" w:rsidRPr="00FF4F17">
        <w:rPr>
          <w:bCs/>
        </w:rPr>
        <w:t xml:space="preserve"> Agreement (4 titles)</w:t>
      </w:r>
      <w:r>
        <w:rPr>
          <w:bCs/>
        </w:rPr>
        <w:t>:</w:t>
      </w:r>
      <w:r w:rsidR="00057D34" w:rsidRPr="00FF4F17">
        <w:rPr>
          <w:bCs/>
        </w:rPr>
        <w:t xml:space="preserve"> </w:t>
      </w:r>
      <w:r>
        <w:rPr>
          <w:bCs/>
        </w:rPr>
        <w:t>The fee is $225.</w:t>
      </w:r>
    </w:p>
    <w:p w:rsidR="00EB1923" w:rsidRPr="006E2B08" w:rsidRDefault="00057D34" w:rsidP="006E2B08">
      <w:pPr>
        <w:ind w:left="1440" w:hanging="720"/>
        <w:rPr>
          <w:bCs/>
          <w:color w:val="00642D"/>
        </w:rPr>
      </w:pPr>
      <w:r w:rsidRPr="006E2B08">
        <w:rPr>
          <w:b/>
          <w:bCs/>
          <w:color w:val="00642D"/>
        </w:rPr>
        <w:t>Q16:</w:t>
      </w:r>
      <w:r w:rsidRPr="006E2B08">
        <w:rPr>
          <w:bCs/>
          <w:color w:val="00642D"/>
        </w:rPr>
        <w:tab/>
      </w:r>
      <w:r w:rsidRPr="006E2B08">
        <w:rPr>
          <w:b/>
          <w:bCs/>
          <w:color w:val="00642D"/>
        </w:rPr>
        <w:t xml:space="preserve">If recording a subdivision map describing multiple lots in a subdivision, is </w:t>
      </w:r>
      <w:r w:rsidR="006E2B08" w:rsidRPr="006E2B08">
        <w:rPr>
          <w:b/>
          <w:bCs/>
          <w:color w:val="00642D"/>
        </w:rPr>
        <w:t>the</w:t>
      </w:r>
      <w:r w:rsidRPr="006E2B08">
        <w:rPr>
          <w:b/>
          <w:bCs/>
          <w:color w:val="00642D"/>
        </w:rPr>
        <w:t xml:space="preserve"> </w:t>
      </w:r>
      <w:r>
        <w:rPr>
          <w:b/>
          <w:bCs/>
          <w:color w:val="00642D"/>
        </w:rPr>
        <w:t>Building Homes and Jobs Act</w:t>
      </w:r>
      <w:r w:rsidRPr="006E2B08">
        <w:rPr>
          <w:b/>
          <w:bCs/>
          <w:color w:val="00642D"/>
        </w:rPr>
        <w:t xml:space="preserve"> Recording Fee due equal to (a) the number of lots in the subdivision times $75, limited by the maximum assessment or (b) the number of lots in the subdivision times $75?</w:t>
      </w:r>
    </w:p>
    <w:p w:rsidR="00EB1923" w:rsidRPr="006E2B08" w:rsidRDefault="00057D34" w:rsidP="006E2B08">
      <w:pPr>
        <w:ind w:left="1440" w:hanging="720"/>
        <w:rPr>
          <w:bCs/>
        </w:rPr>
      </w:pPr>
      <w:r w:rsidRPr="006E2B08">
        <w:rPr>
          <w:bCs/>
        </w:rPr>
        <w:t xml:space="preserve">A: </w:t>
      </w:r>
      <w:r w:rsidRPr="006E2B08">
        <w:rPr>
          <w:bCs/>
        </w:rPr>
        <w:tab/>
        <w:t>One $75 fee would be charged for a single transaction regardless of the number of parcels.</w:t>
      </w:r>
    </w:p>
    <w:p w:rsidR="00EB1923" w:rsidRPr="006E2B08" w:rsidRDefault="00057D34" w:rsidP="006E2B08">
      <w:pPr>
        <w:ind w:left="1440" w:hanging="720"/>
        <w:rPr>
          <w:bCs/>
          <w:color w:val="00642D"/>
        </w:rPr>
      </w:pPr>
      <w:r w:rsidRPr="006E2B08">
        <w:rPr>
          <w:b/>
          <w:bCs/>
          <w:color w:val="00642D"/>
        </w:rPr>
        <w:t xml:space="preserve">Q17: </w:t>
      </w:r>
      <w:r w:rsidRPr="006E2B08">
        <w:rPr>
          <w:b/>
          <w:bCs/>
          <w:color w:val="00642D"/>
        </w:rPr>
        <w:tab/>
        <w:t xml:space="preserve">If, in addition to a subdivision map, a person simultaneously presents covenants conditions and restrictions (CCRs) on the same </w:t>
      </w:r>
      <w:r w:rsidRPr="006E2B08">
        <w:rPr>
          <w:b/>
          <w:bCs/>
          <w:color w:val="00642D"/>
        </w:rPr>
        <w:tab/>
        <w:t xml:space="preserve">property, is an additional </w:t>
      </w:r>
      <w:r>
        <w:rPr>
          <w:b/>
          <w:bCs/>
          <w:color w:val="00642D"/>
        </w:rPr>
        <w:t>Building Homes and Jobs Act</w:t>
      </w:r>
      <w:r w:rsidRPr="006E2B08">
        <w:rPr>
          <w:b/>
          <w:bCs/>
          <w:color w:val="00642D"/>
        </w:rPr>
        <w:t xml:space="preserve"> Recordi</w:t>
      </w:r>
      <w:r w:rsidR="006E2B08" w:rsidRPr="006E2B08">
        <w:rPr>
          <w:b/>
          <w:bCs/>
          <w:color w:val="00642D"/>
        </w:rPr>
        <w:t xml:space="preserve">ng Fee due -- equal </w:t>
      </w:r>
      <w:r w:rsidRPr="006E2B08">
        <w:rPr>
          <w:b/>
          <w:bCs/>
          <w:color w:val="00642D"/>
        </w:rPr>
        <w:t>to the number of lots in the subdivision times $75, limited by the Recording Fee maximum?</w:t>
      </w:r>
    </w:p>
    <w:p w:rsidR="00EB1923" w:rsidRDefault="00057D34" w:rsidP="00057D34">
      <w:pPr>
        <w:ind w:left="1440" w:hanging="720"/>
        <w:rPr>
          <w:bCs/>
        </w:rPr>
      </w:pPr>
      <w:r w:rsidRPr="006E2B08">
        <w:rPr>
          <w:bCs/>
        </w:rPr>
        <w:t xml:space="preserve">A:  </w:t>
      </w:r>
      <w:r w:rsidRPr="006E2B08">
        <w:rPr>
          <w:bCs/>
        </w:rPr>
        <w:tab/>
        <w:t xml:space="preserve">An additional $75 </w:t>
      </w:r>
      <w:r>
        <w:rPr>
          <w:bCs/>
        </w:rPr>
        <w:t>Building Homes and Jobs Act</w:t>
      </w:r>
      <w:r w:rsidRPr="006E2B08">
        <w:rPr>
          <w:bCs/>
        </w:rPr>
        <w:t xml:space="preserve"> Recording Fee would be due to record the CCRs.</w:t>
      </w:r>
    </w:p>
    <w:p w:rsidR="00057D34" w:rsidRPr="006E2B08" w:rsidRDefault="00057D34" w:rsidP="00057D34">
      <w:pPr>
        <w:ind w:left="1440" w:hanging="720"/>
        <w:rPr>
          <w:bCs/>
        </w:rPr>
      </w:pPr>
      <w:r>
        <w:rPr>
          <w:bCs/>
        </w:rPr>
        <w:t>//</w:t>
      </w:r>
    </w:p>
    <w:p w:rsidR="00EB1923" w:rsidRPr="006E2B08" w:rsidRDefault="00057D34" w:rsidP="006E2B08">
      <w:pPr>
        <w:ind w:left="1440" w:hanging="720"/>
        <w:rPr>
          <w:bCs/>
          <w:color w:val="00642D"/>
        </w:rPr>
      </w:pPr>
      <w:r w:rsidRPr="006E2B08">
        <w:rPr>
          <w:b/>
          <w:bCs/>
          <w:color w:val="00642D"/>
        </w:rPr>
        <w:t xml:space="preserve">Q18:  </w:t>
      </w:r>
      <w:r w:rsidRPr="006E2B08">
        <w:rPr>
          <w:b/>
          <w:bCs/>
          <w:color w:val="00642D"/>
        </w:rPr>
        <w:tab/>
        <w:t>Are documents re-recorded for reasons such as correcting a name or</w:t>
      </w:r>
      <w:r w:rsidR="006E2B08" w:rsidRPr="006E2B08">
        <w:rPr>
          <w:b/>
          <w:bCs/>
          <w:color w:val="00642D"/>
        </w:rPr>
        <w:t xml:space="preserve"> </w:t>
      </w:r>
      <w:r w:rsidRPr="006E2B08">
        <w:rPr>
          <w:b/>
          <w:bCs/>
          <w:color w:val="00642D"/>
        </w:rPr>
        <w:t>attaching a</w:t>
      </w:r>
      <w:r>
        <w:rPr>
          <w:b/>
          <w:bCs/>
          <w:color w:val="00642D"/>
        </w:rPr>
        <w:t xml:space="preserve"> legal description subject to a</w:t>
      </w:r>
      <w:r w:rsidRPr="006E2B08">
        <w:rPr>
          <w:b/>
          <w:bCs/>
          <w:color w:val="00642D"/>
        </w:rPr>
        <w:t xml:space="preserve"> </w:t>
      </w:r>
      <w:r>
        <w:rPr>
          <w:b/>
          <w:bCs/>
          <w:color w:val="00642D"/>
        </w:rPr>
        <w:t>Building Homes and Jobs Act</w:t>
      </w:r>
      <w:r w:rsidRPr="006E2B08">
        <w:rPr>
          <w:b/>
          <w:bCs/>
          <w:color w:val="00642D"/>
        </w:rPr>
        <w:t xml:space="preserve"> Recording Fee charge?</w:t>
      </w:r>
    </w:p>
    <w:p w:rsidR="00EB1923" w:rsidRDefault="006E2B08" w:rsidP="006E2B08">
      <w:pPr>
        <w:ind w:left="1440" w:hanging="720"/>
        <w:rPr>
          <w:bCs/>
        </w:rPr>
      </w:pPr>
      <w:r>
        <w:rPr>
          <w:bCs/>
        </w:rPr>
        <w:t xml:space="preserve">A:  </w:t>
      </w:r>
      <w:r>
        <w:rPr>
          <w:bCs/>
        </w:rPr>
        <w:tab/>
        <w:t>Yes</w:t>
      </w:r>
      <w:r w:rsidR="00057D34" w:rsidRPr="006E2B08">
        <w:rPr>
          <w:bCs/>
        </w:rPr>
        <w:t xml:space="preserve">, previously recorded documents being re-recorded to correct a previous omission or error are subject to </w:t>
      </w:r>
      <w:proofErr w:type="gramStart"/>
      <w:r w:rsidR="00057D34" w:rsidRPr="006E2B08">
        <w:rPr>
          <w:bCs/>
        </w:rPr>
        <w:t>an</w:t>
      </w:r>
      <w:proofErr w:type="gramEnd"/>
      <w:r w:rsidR="00057D34" w:rsidRPr="006E2B08">
        <w:rPr>
          <w:bCs/>
        </w:rPr>
        <w:t xml:space="preserve"> </w:t>
      </w:r>
      <w:r w:rsidR="00057D34">
        <w:rPr>
          <w:bCs/>
        </w:rPr>
        <w:t>Building Homes and Jobs Act</w:t>
      </w:r>
      <w:r w:rsidR="00057D34" w:rsidRPr="006E2B08">
        <w:rPr>
          <w:bCs/>
        </w:rPr>
        <w:t xml:space="preserve"> Recording Fee charge. Minor corrections pursuant to </w:t>
      </w:r>
      <w:r>
        <w:rPr>
          <w:bCs/>
        </w:rPr>
        <w:t xml:space="preserve">Government Code section </w:t>
      </w:r>
      <w:r w:rsidR="00057D34" w:rsidRPr="006E2B08">
        <w:rPr>
          <w:bCs/>
        </w:rPr>
        <w:t xml:space="preserve">27201 </w:t>
      </w:r>
      <w:r>
        <w:rPr>
          <w:bCs/>
        </w:rPr>
        <w:t>(c</w:t>
      </w:r>
      <w:proofErr w:type="gramStart"/>
      <w:r>
        <w:rPr>
          <w:bCs/>
        </w:rPr>
        <w:t>)(</w:t>
      </w:r>
      <w:proofErr w:type="gramEnd"/>
      <w:r>
        <w:rPr>
          <w:bCs/>
        </w:rPr>
        <w:t>1)</w:t>
      </w:r>
      <w:r w:rsidR="00057D34" w:rsidRPr="006E2B08">
        <w:rPr>
          <w:bCs/>
        </w:rPr>
        <w:t xml:space="preserve">(B) and </w:t>
      </w:r>
      <w:r>
        <w:rPr>
          <w:bCs/>
        </w:rPr>
        <w:t>(c)(1)</w:t>
      </w:r>
      <w:r w:rsidRPr="006E2B08">
        <w:rPr>
          <w:bCs/>
        </w:rPr>
        <w:t xml:space="preserve"> </w:t>
      </w:r>
      <w:r w:rsidR="00057D34" w:rsidRPr="006E2B08">
        <w:rPr>
          <w:bCs/>
        </w:rPr>
        <w:t>(C) are exempt.</w:t>
      </w:r>
    </w:p>
    <w:p w:rsidR="00EB1923" w:rsidRPr="006E2B08" w:rsidRDefault="00057D34" w:rsidP="006E2B08">
      <w:pPr>
        <w:ind w:left="1440" w:hanging="720"/>
        <w:rPr>
          <w:bCs/>
          <w:color w:val="00642D"/>
        </w:rPr>
      </w:pPr>
      <w:r w:rsidRPr="006E2B08">
        <w:rPr>
          <w:b/>
          <w:bCs/>
          <w:color w:val="00642D"/>
        </w:rPr>
        <w:t xml:space="preserve">Q19:  </w:t>
      </w:r>
      <w:r w:rsidRPr="006E2B08">
        <w:rPr>
          <w:b/>
          <w:bCs/>
          <w:color w:val="00642D"/>
        </w:rPr>
        <w:tab/>
        <w:t xml:space="preserve">Are </w:t>
      </w:r>
      <w:proofErr w:type="spellStart"/>
      <w:r w:rsidRPr="006E2B08">
        <w:rPr>
          <w:b/>
          <w:bCs/>
          <w:color w:val="00642D"/>
        </w:rPr>
        <w:t>reconveyance</w:t>
      </w:r>
      <w:proofErr w:type="spellEnd"/>
      <w:r w:rsidRPr="006E2B08">
        <w:rPr>
          <w:b/>
          <w:bCs/>
          <w:color w:val="00642D"/>
        </w:rPr>
        <w:t xml:space="preserve"> and release documents recorded to release </w:t>
      </w:r>
      <w:r w:rsidRPr="006E2B08">
        <w:rPr>
          <w:b/>
          <w:bCs/>
          <w:color w:val="00642D"/>
        </w:rPr>
        <w:tab/>
        <w:t>encumbrances paid prior to January 1</w:t>
      </w:r>
      <w:r w:rsidRPr="006E2B08">
        <w:rPr>
          <w:b/>
          <w:bCs/>
          <w:color w:val="00642D"/>
          <w:vertAlign w:val="superscript"/>
        </w:rPr>
        <w:t>st</w:t>
      </w:r>
      <w:r w:rsidRPr="006E2B08">
        <w:rPr>
          <w:b/>
          <w:bCs/>
          <w:color w:val="00642D"/>
        </w:rPr>
        <w:t xml:space="preserve">, 2018 subject to the </w:t>
      </w:r>
      <w:r>
        <w:rPr>
          <w:b/>
          <w:bCs/>
          <w:color w:val="00642D"/>
        </w:rPr>
        <w:t>Building Homes and Jobs Act</w:t>
      </w:r>
      <w:r w:rsidRPr="006E2B08">
        <w:rPr>
          <w:b/>
          <w:bCs/>
          <w:color w:val="00642D"/>
        </w:rPr>
        <w:t xml:space="preserve"> Recording Fee charge?</w:t>
      </w:r>
    </w:p>
    <w:p w:rsidR="00EB1923" w:rsidRPr="006E2B08" w:rsidRDefault="00057D34" w:rsidP="006E2B08">
      <w:pPr>
        <w:ind w:left="1440" w:hanging="720"/>
        <w:rPr>
          <w:bCs/>
        </w:rPr>
      </w:pPr>
      <w:r w:rsidRPr="006E2B08">
        <w:rPr>
          <w:bCs/>
        </w:rPr>
        <w:t xml:space="preserve">A:  </w:t>
      </w:r>
      <w:r w:rsidRPr="006E2B08">
        <w:rPr>
          <w:bCs/>
        </w:rPr>
        <w:tab/>
        <w:t>Yes, documents recorded after January 1</w:t>
      </w:r>
      <w:r w:rsidRPr="006E2B08">
        <w:rPr>
          <w:bCs/>
          <w:vertAlign w:val="superscript"/>
        </w:rPr>
        <w:t>st</w:t>
      </w:r>
      <w:r w:rsidRPr="006E2B08">
        <w:rPr>
          <w:bCs/>
        </w:rPr>
        <w:t xml:space="preserve">, 2018 related to transactions closed prior to that date will be charged the $75 </w:t>
      </w:r>
      <w:r>
        <w:rPr>
          <w:bCs/>
        </w:rPr>
        <w:t>Building Homes and Jobs Act</w:t>
      </w:r>
      <w:r w:rsidRPr="006E2B08">
        <w:rPr>
          <w:bCs/>
        </w:rPr>
        <w:t xml:space="preserve"> Recording Fee, regardless if the overall transaction was otherwise exempt. The fee applies to all documents submitted on or after January 1, 2018.</w:t>
      </w:r>
    </w:p>
    <w:p w:rsidR="006E2B08" w:rsidRPr="006E2B08" w:rsidRDefault="006E2B08" w:rsidP="006E2B08">
      <w:pPr>
        <w:ind w:left="1440" w:hanging="720"/>
        <w:rPr>
          <w:bCs/>
        </w:rPr>
      </w:pPr>
    </w:p>
    <w:p w:rsidR="00684C7A" w:rsidRPr="00AE5E7F" w:rsidRDefault="00684C7A" w:rsidP="00AE5E7F">
      <w:pPr>
        <w:ind w:left="1440" w:hanging="720"/>
        <w:rPr>
          <w:bCs/>
        </w:rPr>
      </w:pPr>
    </w:p>
    <w:p w:rsidR="00A56DF2" w:rsidRDefault="00A56DF2" w:rsidP="00AE5E7F">
      <w:pPr>
        <w:ind w:firstLine="720"/>
      </w:pPr>
    </w:p>
    <w:sectPr w:rsidR="00A56D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922" w:rsidRDefault="00CE5922" w:rsidP="00CE5922">
      <w:pPr>
        <w:spacing w:after="0" w:line="240" w:lineRule="auto"/>
      </w:pPr>
      <w:r>
        <w:separator/>
      </w:r>
    </w:p>
  </w:endnote>
  <w:endnote w:type="continuationSeparator" w:id="0">
    <w:p w:rsidR="00CE5922" w:rsidRDefault="00CE5922" w:rsidP="00CE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922" w:rsidRDefault="00CE5922">
    <w:pPr>
      <w:pStyle w:val="Footer"/>
    </w:pPr>
    <w:r>
      <w:t xml:space="preserve">Page </w:t>
    </w:r>
    <w:sdt>
      <w:sdtPr>
        <w:id w:val="11881100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30F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057D34">
          <w:rPr>
            <w:noProof/>
          </w:rPr>
          <w:t>4</w:t>
        </w:r>
      </w:sdtContent>
    </w:sdt>
  </w:p>
  <w:p w:rsidR="00CE5922" w:rsidRDefault="00CE59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922" w:rsidRDefault="00CE5922" w:rsidP="00CE5922">
      <w:pPr>
        <w:spacing w:after="0" w:line="240" w:lineRule="auto"/>
      </w:pPr>
      <w:r>
        <w:separator/>
      </w:r>
    </w:p>
  </w:footnote>
  <w:footnote w:type="continuationSeparator" w:id="0">
    <w:p w:rsidR="00CE5922" w:rsidRDefault="00CE5922" w:rsidP="00CE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55A2"/>
    <w:multiLevelType w:val="hybridMultilevel"/>
    <w:tmpl w:val="D744D080"/>
    <w:lvl w:ilvl="0" w:tplc="725CC6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68A2CB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3BE0C4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4BAF0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6D273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242C1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E12A2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78816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86A436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>
    <w:nsid w:val="171E1C46"/>
    <w:multiLevelType w:val="hybridMultilevel"/>
    <w:tmpl w:val="E16EDAAC"/>
    <w:lvl w:ilvl="0" w:tplc="A3464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63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E0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027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2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CA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085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02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C4B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6292EA6"/>
    <w:multiLevelType w:val="hybridMultilevel"/>
    <w:tmpl w:val="A95EEA0E"/>
    <w:lvl w:ilvl="0" w:tplc="DBE8E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CC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C5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48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6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AD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407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4D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EE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71A19FC"/>
    <w:multiLevelType w:val="hybridMultilevel"/>
    <w:tmpl w:val="12B058E2"/>
    <w:lvl w:ilvl="0" w:tplc="4CE20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2B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888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20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384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AE1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49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6ED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A2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3B0C21"/>
    <w:multiLevelType w:val="hybridMultilevel"/>
    <w:tmpl w:val="0706E986"/>
    <w:lvl w:ilvl="0" w:tplc="40847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1CD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4E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09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6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44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8B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F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2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045424"/>
    <w:multiLevelType w:val="hybridMultilevel"/>
    <w:tmpl w:val="760C0A50"/>
    <w:lvl w:ilvl="0" w:tplc="22941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2E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EF780">
      <w:start w:val="147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23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4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C2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8D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A4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F848C1"/>
    <w:multiLevelType w:val="hybridMultilevel"/>
    <w:tmpl w:val="CA8C1716"/>
    <w:lvl w:ilvl="0" w:tplc="05A4A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06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1CE3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42A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CE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87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6C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ED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2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7C14AB4"/>
    <w:multiLevelType w:val="hybridMultilevel"/>
    <w:tmpl w:val="64603396"/>
    <w:lvl w:ilvl="0" w:tplc="58481B4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C8EF33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17A4E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B8663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FF090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A3881E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21EE1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5F5EF3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EFCA3B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>
    <w:nsid w:val="58A037D3"/>
    <w:multiLevelType w:val="hybridMultilevel"/>
    <w:tmpl w:val="C082D9C6"/>
    <w:lvl w:ilvl="0" w:tplc="21C83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06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EC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CD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AE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04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06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43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4A6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8112E"/>
    <w:multiLevelType w:val="hybridMultilevel"/>
    <w:tmpl w:val="75C2066E"/>
    <w:lvl w:ilvl="0" w:tplc="22F213B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E75078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D4C2C4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42A8A9FE">
      <w:start w:val="3325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DF3A5B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57699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9421D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F1251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454622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0">
    <w:nsid w:val="772F1BB2"/>
    <w:multiLevelType w:val="hybridMultilevel"/>
    <w:tmpl w:val="BD2020E4"/>
    <w:lvl w:ilvl="0" w:tplc="725CC63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BFC1A0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642D"/>
      </w:rPr>
    </w:lvl>
    <w:lvl w:ilvl="2" w:tplc="B3BE0C4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54BAF0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6D273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242C1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E12A2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78816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086A436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1">
    <w:nsid w:val="7F040C26"/>
    <w:multiLevelType w:val="hybridMultilevel"/>
    <w:tmpl w:val="A2F2B780"/>
    <w:lvl w:ilvl="0" w:tplc="1744E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04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4F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05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CF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A7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44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67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60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22"/>
    <w:rsid w:val="00057D34"/>
    <w:rsid w:val="003B0938"/>
    <w:rsid w:val="00684C7A"/>
    <w:rsid w:val="006E2B08"/>
    <w:rsid w:val="007D330F"/>
    <w:rsid w:val="00A56DF2"/>
    <w:rsid w:val="00AE5E7F"/>
    <w:rsid w:val="00CE5922"/>
    <w:rsid w:val="00EB1923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22"/>
  </w:style>
  <w:style w:type="paragraph" w:styleId="Footer">
    <w:name w:val="footer"/>
    <w:basedOn w:val="Normal"/>
    <w:link w:val="FooterChar"/>
    <w:uiPriority w:val="99"/>
    <w:unhideWhenUsed/>
    <w:rsid w:val="00CE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22"/>
  </w:style>
  <w:style w:type="paragraph" w:styleId="ListParagraph">
    <w:name w:val="List Paragraph"/>
    <w:basedOn w:val="Normal"/>
    <w:uiPriority w:val="34"/>
    <w:qFormat/>
    <w:rsid w:val="00AE5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922"/>
  </w:style>
  <w:style w:type="paragraph" w:styleId="Footer">
    <w:name w:val="footer"/>
    <w:basedOn w:val="Normal"/>
    <w:link w:val="FooterChar"/>
    <w:uiPriority w:val="99"/>
    <w:unhideWhenUsed/>
    <w:rsid w:val="00CE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922"/>
  </w:style>
  <w:style w:type="paragraph" w:styleId="ListParagraph">
    <w:name w:val="List Paragraph"/>
    <w:basedOn w:val="Normal"/>
    <w:uiPriority w:val="34"/>
    <w:qFormat/>
    <w:rsid w:val="00AE5E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3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6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66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71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540">
          <w:marLeft w:val="201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07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50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77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2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5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1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0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6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7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227">
          <w:marLeft w:val="20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953">
          <w:marLeft w:val="20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802">
          <w:marLeft w:val="20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837">
          <w:marLeft w:val="20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3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4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37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2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8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3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8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6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5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1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73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75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8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7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3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051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4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7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83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98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694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4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712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88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2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Humboldt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3</cp:revision>
  <dcterms:created xsi:type="dcterms:W3CDTF">2017-12-20T00:53:00Z</dcterms:created>
  <dcterms:modified xsi:type="dcterms:W3CDTF">2017-12-21T18:09:00Z</dcterms:modified>
</cp:coreProperties>
</file>